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AD" w:rsidRPr="00541E47" w:rsidRDefault="008257AD">
      <w:pPr>
        <w:jc w:val="center"/>
        <w:rPr>
          <w:b/>
          <w:color w:val="000000" w:themeColor="text1"/>
          <w:sz w:val="28"/>
        </w:rPr>
      </w:pPr>
    </w:p>
    <w:p w:rsidR="00106054" w:rsidRPr="00541E47" w:rsidRDefault="00106054" w:rsidP="000115EF">
      <w:pPr>
        <w:jc w:val="center"/>
        <w:rPr>
          <w:b/>
          <w:color w:val="000000" w:themeColor="text1"/>
          <w:sz w:val="28"/>
        </w:rPr>
      </w:pPr>
    </w:p>
    <w:p w:rsidR="00106054" w:rsidRPr="00541E47" w:rsidRDefault="00BA659F" w:rsidP="008F7EA9">
      <w:pPr>
        <w:jc w:val="center"/>
        <w:rPr>
          <w:i/>
          <w:color w:val="000000" w:themeColor="text1"/>
          <w:lang w:val="en-US"/>
        </w:rPr>
      </w:pPr>
      <w:r w:rsidRPr="00541E47">
        <w:rPr>
          <w:i/>
          <w:color w:val="000000" w:themeColor="text1"/>
          <w:lang w:val="en-US"/>
        </w:rPr>
        <w:t>Internation</w:t>
      </w:r>
      <w:r w:rsidR="009628D7" w:rsidRPr="00541E47">
        <w:rPr>
          <w:i/>
          <w:color w:val="000000" w:themeColor="text1"/>
          <w:lang w:val="en-US"/>
        </w:rPr>
        <w:t>al</w:t>
      </w:r>
      <w:r w:rsidRPr="00541E47">
        <w:rPr>
          <w:i/>
          <w:color w:val="000000" w:themeColor="text1"/>
          <w:lang w:val="en-US"/>
        </w:rPr>
        <w:t xml:space="preserve"> </w:t>
      </w:r>
      <w:r w:rsidR="009628D7" w:rsidRPr="00541E47">
        <w:rPr>
          <w:i/>
          <w:color w:val="000000" w:themeColor="text1"/>
          <w:lang w:val="en-US"/>
        </w:rPr>
        <w:t>F</w:t>
      </w:r>
      <w:r w:rsidRPr="00541E47">
        <w:rPr>
          <w:i/>
          <w:color w:val="000000" w:themeColor="text1"/>
          <w:lang w:val="en-US"/>
        </w:rPr>
        <w:t xml:space="preserve">ood </w:t>
      </w:r>
      <w:r w:rsidR="009628D7" w:rsidRPr="00541E47">
        <w:rPr>
          <w:i/>
          <w:color w:val="000000" w:themeColor="text1"/>
          <w:lang w:val="en-US"/>
        </w:rPr>
        <w:t>P</w:t>
      </w:r>
      <w:r w:rsidRPr="00541E47">
        <w:rPr>
          <w:i/>
          <w:color w:val="000000" w:themeColor="text1"/>
          <w:lang w:val="en-US"/>
        </w:rPr>
        <w:t xml:space="preserve">olicy </w:t>
      </w:r>
      <w:r w:rsidR="009628D7" w:rsidRPr="00541E47">
        <w:rPr>
          <w:i/>
          <w:color w:val="000000" w:themeColor="text1"/>
          <w:lang w:val="en-US"/>
        </w:rPr>
        <w:t>R</w:t>
      </w:r>
      <w:r w:rsidRPr="00541E47">
        <w:rPr>
          <w:i/>
          <w:color w:val="000000" w:themeColor="text1"/>
          <w:lang w:val="en-US"/>
        </w:rPr>
        <w:t>esearch</w:t>
      </w:r>
      <w:r w:rsidR="009628D7" w:rsidRPr="00541E47">
        <w:rPr>
          <w:i/>
          <w:color w:val="000000" w:themeColor="text1"/>
          <w:lang w:val="en-US"/>
        </w:rPr>
        <w:t xml:space="preserve"> institute</w:t>
      </w:r>
      <w:r w:rsidRPr="00541E47">
        <w:rPr>
          <w:i/>
          <w:color w:val="000000" w:themeColor="text1"/>
          <w:lang w:val="en-US"/>
        </w:rPr>
        <w:t xml:space="preserve"> (IFPRI)</w:t>
      </w:r>
    </w:p>
    <w:p w:rsidR="00106054" w:rsidRPr="00541E47" w:rsidRDefault="00106054" w:rsidP="008F7EA9">
      <w:pPr>
        <w:jc w:val="center"/>
        <w:rPr>
          <w:b/>
          <w:color w:val="000000" w:themeColor="text1"/>
          <w:lang w:val="en-US"/>
        </w:rPr>
      </w:pPr>
    </w:p>
    <w:p w:rsidR="00106054" w:rsidRPr="00541E47" w:rsidRDefault="00106054" w:rsidP="008F7EA9">
      <w:pPr>
        <w:jc w:val="center"/>
        <w:rPr>
          <w:b/>
          <w:color w:val="000000" w:themeColor="text1"/>
        </w:rPr>
      </w:pPr>
    </w:p>
    <w:p w:rsidR="008257AD" w:rsidRPr="00541E47" w:rsidRDefault="008257AD" w:rsidP="008F7EA9">
      <w:pPr>
        <w:jc w:val="center"/>
        <w:rPr>
          <w:b/>
          <w:color w:val="000000" w:themeColor="text1"/>
        </w:rPr>
      </w:pPr>
    </w:p>
    <w:p w:rsidR="008257AD" w:rsidRPr="00541E47" w:rsidRDefault="008257AD" w:rsidP="008F7EA9">
      <w:pPr>
        <w:jc w:val="center"/>
        <w:rPr>
          <w:b/>
          <w:color w:val="000000" w:themeColor="text1"/>
        </w:rPr>
      </w:pPr>
    </w:p>
    <w:p w:rsidR="00746810" w:rsidRPr="00541E47" w:rsidRDefault="00746810" w:rsidP="008F7EA9">
      <w:pPr>
        <w:adjustRightInd w:val="0"/>
        <w:snapToGrid w:val="0"/>
        <w:jc w:val="center"/>
        <w:rPr>
          <w:color w:val="000000" w:themeColor="text1"/>
        </w:rPr>
      </w:pPr>
      <w:r w:rsidRPr="00541E47">
        <w:rPr>
          <w:b/>
          <w:color w:val="000000" w:themeColor="text1"/>
        </w:rPr>
        <w:t xml:space="preserve">Global Biofuel Production and Poverty in </w:t>
      </w:r>
      <w:r w:rsidR="00E33B13" w:rsidRPr="00541E47">
        <w:rPr>
          <w:b/>
          <w:color w:val="000000" w:themeColor="text1"/>
        </w:rPr>
        <w:t>Senegal</w:t>
      </w:r>
    </w:p>
    <w:p w:rsidR="00746810" w:rsidRPr="00541E47" w:rsidRDefault="00746810" w:rsidP="008F7EA9">
      <w:pPr>
        <w:adjustRightInd w:val="0"/>
        <w:snapToGrid w:val="0"/>
        <w:jc w:val="center"/>
        <w:rPr>
          <w:b/>
          <w:color w:val="000000" w:themeColor="text1"/>
        </w:rPr>
      </w:pPr>
    </w:p>
    <w:p w:rsidR="00106054" w:rsidRPr="00541E47" w:rsidRDefault="00106054" w:rsidP="008F7EA9">
      <w:pPr>
        <w:jc w:val="center"/>
        <w:rPr>
          <w:color w:val="000000" w:themeColor="text1"/>
          <w:lang w:val="en-US"/>
        </w:rPr>
      </w:pPr>
    </w:p>
    <w:p w:rsidR="008257AD" w:rsidRPr="00541E47" w:rsidRDefault="008257AD" w:rsidP="008F7EA9">
      <w:pPr>
        <w:jc w:val="center"/>
        <w:rPr>
          <w:color w:val="000000" w:themeColor="text1"/>
          <w:lang w:val="en-US"/>
        </w:rPr>
      </w:pPr>
    </w:p>
    <w:p w:rsidR="008257AD" w:rsidRPr="00541E47" w:rsidRDefault="008257AD" w:rsidP="008F7EA9">
      <w:pPr>
        <w:jc w:val="center"/>
        <w:rPr>
          <w:color w:val="000000" w:themeColor="text1"/>
          <w:lang w:val="en-US"/>
        </w:rPr>
      </w:pPr>
    </w:p>
    <w:p w:rsidR="00106054" w:rsidRPr="00541E47" w:rsidRDefault="001B12C0" w:rsidP="008F7EA9">
      <w:pPr>
        <w:jc w:val="center"/>
        <w:rPr>
          <w:color w:val="000000" w:themeColor="text1"/>
          <w:lang w:val="fr-FR"/>
        </w:rPr>
      </w:pPr>
      <w:r w:rsidRPr="00541E47">
        <w:rPr>
          <w:color w:val="000000" w:themeColor="text1"/>
          <w:lang w:val="fr-FR"/>
        </w:rPr>
        <w:t>François Joseph Cabral</w:t>
      </w:r>
      <w:r w:rsidR="008257AD" w:rsidRPr="00541E47">
        <w:rPr>
          <w:rStyle w:val="Appelnotedebasdep"/>
          <w:color w:val="000000" w:themeColor="text1"/>
          <w:lang w:val="fr-FR"/>
        </w:rPr>
        <w:footnoteReference w:id="2"/>
      </w:r>
      <w:r w:rsidRPr="00541E47">
        <w:rPr>
          <w:color w:val="000000" w:themeColor="text1"/>
          <w:lang w:val="fr-FR"/>
        </w:rPr>
        <w:t>, Fatou Cissé</w:t>
      </w:r>
      <w:r w:rsidR="008257AD" w:rsidRPr="00541E47">
        <w:rPr>
          <w:rStyle w:val="Appelnotedebasdep"/>
          <w:color w:val="000000" w:themeColor="text1"/>
          <w:lang w:val="fr-FR"/>
        </w:rPr>
        <w:footnoteReference w:id="3"/>
      </w:r>
      <w:r w:rsidR="005B2A0E" w:rsidRPr="00541E47">
        <w:rPr>
          <w:color w:val="000000" w:themeColor="text1"/>
          <w:lang w:val="fr-FR"/>
        </w:rPr>
        <w:t>,</w:t>
      </w:r>
      <w:r w:rsidRPr="00541E47">
        <w:rPr>
          <w:color w:val="000000" w:themeColor="text1"/>
          <w:lang w:val="fr-FR"/>
        </w:rPr>
        <w:t xml:space="preserve"> Abdoulaye Diagne</w:t>
      </w:r>
      <w:r w:rsidR="008257AD" w:rsidRPr="00541E47">
        <w:rPr>
          <w:rStyle w:val="Appelnotedebasdep"/>
          <w:color w:val="000000" w:themeColor="text1"/>
          <w:lang w:val="fr-FR"/>
        </w:rPr>
        <w:footnoteReference w:id="4"/>
      </w:r>
      <w:r w:rsidRPr="00541E47">
        <w:rPr>
          <w:color w:val="000000" w:themeColor="text1"/>
          <w:lang w:val="fr-FR"/>
        </w:rPr>
        <w:t xml:space="preserve"> </w:t>
      </w:r>
      <w:r w:rsidR="005B2A0E" w:rsidRPr="00541E47">
        <w:rPr>
          <w:color w:val="000000" w:themeColor="text1"/>
          <w:lang w:val="fr-FR"/>
        </w:rPr>
        <w:t xml:space="preserve"> and MSangi Siwa</w:t>
      </w:r>
      <w:r w:rsidR="005B2A0E" w:rsidRPr="00541E47">
        <w:rPr>
          <w:rStyle w:val="Appelnotedebasdep"/>
          <w:color w:val="000000" w:themeColor="text1"/>
          <w:lang w:val="fr-FR"/>
        </w:rPr>
        <w:footnoteReference w:id="5"/>
      </w:r>
    </w:p>
    <w:p w:rsidR="00F35A52" w:rsidRPr="00541E47" w:rsidRDefault="00F35A52" w:rsidP="008F7EA9">
      <w:pPr>
        <w:jc w:val="center"/>
        <w:rPr>
          <w:color w:val="000000" w:themeColor="text1"/>
          <w:lang w:val="fr-FR"/>
        </w:rPr>
      </w:pPr>
    </w:p>
    <w:p w:rsidR="00F35A52" w:rsidRPr="00541E47" w:rsidRDefault="00F35A52" w:rsidP="008F7EA9">
      <w:pPr>
        <w:jc w:val="center"/>
        <w:rPr>
          <w:color w:val="000000" w:themeColor="text1"/>
          <w:lang w:val="fr-FR"/>
        </w:rPr>
      </w:pPr>
    </w:p>
    <w:p w:rsidR="00F35A52" w:rsidRPr="00541E47" w:rsidRDefault="00F35A52" w:rsidP="000115EF">
      <w:pPr>
        <w:jc w:val="both"/>
        <w:rPr>
          <w:color w:val="000000" w:themeColor="text1"/>
          <w:lang w:val="fr-FR"/>
        </w:rPr>
      </w:pPr>
    </w:p>
    <w:p w:rsidR="000C3840" w:rsidRPr="00541E47" w:rsidRDefault="000C3840" w:rsidP="000115EF">
      <w:pPr>
        <w:jc w:val="both"/>
        <w:rPr>
          <w:color w:val="000000" w:themeColor="text1"/>
          <w:lang w:val="fr-FR"/>
        </w:rPr>
      </w:pPr>
    </w:p>
    <w:p w:rsidR="00F35A52" w:rsidRPr="00541E47" w:rsidRDefault="00F35A52" w:rsidP="000115EF">
      <w:pPr>
        <w:jc w:val="both"/>
        <w:rPr>
          <w:color w:val="000000" w:themeColor="text1"/>
          <w:lang w:val="en-US"/>
        </w:rPr>
      </w:pPr>
      <w:r w:rsidRPr="00541E47">
        <w:rPr>
          <w:color w:val="000000" w:themeColor="text1"/>
        </w:rPr>
        <w:t xml:space="preserve">This work has been funded by </w:t>
      </w:r>
      <w:r w:rsidRPr="00541E47">
        <w:rPr>
          <w:color w:val="000000" w:themeColor="text1"/>
          <w:lang w:val="en-US"/>
        </w:rPr>
        <w:t xml:space="preserve">Internation </w:t>
      </w:r>
      <w:r w:rsidR="009628D7" w:rsidRPr="00541E47">
        <w:rPr>
          <w:color w:val="000000" w:themeColor="text1"/>
          <w:lang w:val="en-US"/>
        </w:rPr>
        <w:t>F</w:t>
      </w:r>
      <w:r w:rsidRPr="00541E47">
        <w:rPr>
          <w:color w:val="000000" w:themeColor="text1"/>
          <w:lang w:val="en-US"/>
        </w:rPr>
        <w:t xml:space="preserve">ood </w:t>
      </w:r>
      <w:r w:rsidR="009628D7" w:rsidRPr="00541E47">
        <w:rPr>
          <w:color w:val="000000" w:themeColor="text1"/>
          <w:lang w:val="en-US"/>
        </w:rPr>
        <w:t xml:space="preserve">Policy Research Institute </w:t>
      </w:r>
      <w:r w:rsidRPr="00541E47">
        <w:rPr>
          <w:color w:val="000000" w:themeColor="text1"/>
          <w:lang w:val="en-US"/>
        </w:rPr>
        <w:t>(IFPRI)</w:t>
      </w:r>
      <w:r w:rsidRPr="00541E47">
        <w:rPr>
          <w:color w:val="000000" w:themeColor="text1"/>
        </w:rPr>
        <w:t xml:space="preserve"> and it has been implemented under the coordination of MSangi Siwa. We are very grateful toward Channing Arndt from University of Copenhagen for his precious technical support.</w:t>
      </w:r>
    </w:p>
    <w:p w:rsidR="00106054" w:rsidRPr="00541E47" w:rsidRDefault="00106054" w:rsidP="000115EF">
      <w:pPr>
        <w:jc w:val="both"/>
        <w:rPr>
          <w:b/>
          <w:bCs/>
          <w:color w:val="000000" w:themeColor="text1"/>
          <w:lang w:val="en-US"/>
        </w:rPr>
      </w:pPr>
    </w:p>
    <w:p w:rsidR="00106054" w:rsidRPr="00541E47" w:rsidRDefault="00106054" w:rsidP="000115EF">
      <w:pPr>
        <w:jc w:val="both"/>
        <w:rPr>
          <w:b/>
          <w:bCs/>
          <w:color w:val="000000" w:themeColor="text1"/>
          <w:lang w:val="en-US"/>
        </w:rPr>
      </w:pPr>
    </w:p>
    <w:p w:rsidR="00781D7F" w:rsidRPr="00541E47" w:rsidRDefault="00781D7F" w:rsidP="000115EF">
      <w:pPr>
        <w:jc w:val="both"/>
        <w:rPr>
          <w:b/>
          <w:color w:val="000000" w:themeColor="text1"/>
          <w:lang w:val="en-US"/>
        </w:rPr>
      </w:pPr>
      <w:r w:rsidRPr="00541E47">
        <w:rPr>
          <w:color w:val="000000" w:themeColor="text1"/>
          <w:lang w:val="en-US"/>
        </w:rPr>
        <w:br w:type="page"/>
      </w:r>
      <w:r w:rsidR="00D4272C" w:rsidRPr="00541E47">
        <w:rPr>
          <w:color w:val="000000" w:themeColor="text1"/>
          <w:lang w:val="en-US"/>
        </w:rPr>
        <w:lastRenderedPageBreak/>
        <w:t xml:space="preserve">1. </w:t>
      </w:r>
      <w:r w:rsidRPr="00541E47">
        <w:rPr>
          <w:b/>
          <w:color w:val="000000" w:themeColor="text1"/>
          <w:lang w:val="en-US"/>
        </w:rPr>
        <w:t xml:space="preserve">Introduction </w:t>
      </w:r>
    </w:p>
    <w:p w:rsidR="005B2A0E" w:rsidRPr="00541E47" w:rsidRDefault="00EA5635" w:rsidP="000115EF">
      <w:pPr>
        <w:autoSpaceDE w:val="0"/>
        <w:autoSpaceDN w:val="0"/>
        <w:adjustRightInd w:val="0"/>
        <w:jc w:val="both"/>
        <w:rPr>
          <w:color w:val="000000" w:themeColor="text1"/>
        </w:rPr>
      </w:pPr>
      <w:r w:rsidRPr="00541E47">
        <w:rPr>
          <w:rFonts w:eastAsia="SimSun"/>
          <w:color w:val="000000" w:themeColor="text1"/>
          <w:kern w:val="2"/>
        </w:rPr>
        <w:t xml:space="preserve">During </w:t>
      </w:r>
      <w:r w:rsidR="005B2A0E" w:rsidRPr="00541E47">
        <w:rPr>
          <w:rFonts w:eastAsia="SimSun"/>
          <w:color w:val="000000" w:themeColor="text1"/>
          <w:kern w:val="2"/>
        </w:rPr>
        <w:t>the past years</w:t>
      </w:r>
      <w:r w:rsidRPr="00541E47">
        <w:rPr>
          <w:rFonts w:eastAsia="SimSun"/>
          <w:color w:val="000000" w:themeColor="text1"/>
          <w:kern w:val="2"/>
        </w:rPr>
        <w:t>,</w:t>
      </w:r>
      <w:r w:rsidR="005B2A0E" w:rsidRPr="00541E47">
        <w:rPr>
          <w:rFonts w:eastAsia="SimSun"/>
          <w:color w:val="000000" w:themeColor="text1"/>
          <w:kern w:val="2"/>
        </w:rPr>
        <w:t xml:space="preserve"> biofuels have received </w:t>
      </w:r>
      <w:r w:rsidR="00CB33A3" w:rsidRPr="00541E47">
        <w:rPr>
          <w:rFonts w:eastAsia="SimSun"/>
          <w:color w:val="000000" w:themeColor="text1"/>
          <w:kern w:val="2"/>
        </w:rPr>
        <w:t>many</w:t>
      </w:r>
      <w:r w:rsidR="005B2A0E" w:rsidRPr="00541E47">
        <w:rPr>
          <w:rFonts w:eastAsia="SimSun"/>
          <w:color w:val="000000" w:themeColor="text1"/>
          <w:kern w:val="2"/>
        </w:rPr>
        <w:t xml:space="preserve"> attention</w:t>
      </w:r>
      <w:r w:rsidR="00A23BCE" w:rsidRPr="00541E47">
        <w:rPr>
          <w:rFonts w:eastAsia="SimSun"/>
          <w:color w:val="000000" w:themeColor="text1"/>
          <w:kern w:val="2"/>
        </w:rPr>
        <w:t>s</w:t>
      </w:r>
      <w:r w:rsidR="005B2A0E" w:rsidRPr="00541E47">
        <w:rPr>
          <w:rFonts w:eastAsia="SimSun"/>
          <w:color w:val="000000" w:themeColor="text1"/>
          <w:kern w:val="2"/>
        </w:rPr>
        <w:t xml:space="preserve"> since they were </w:t>
      </w:r>
      <w:r w:rsidRPr="00541E47">
        <w:rPr>
          <w:rFonts w:eastAsia="SimSun"/>
          <w:color w:val="000000" w:themeColor="text1"/>
          <w:kern w:val="2"/>
        </w:rPr>
        <w:t xml:space="preserve">supposed to </w:t>
      </w:r>
      <w:r w:rsidR="005B2A0E" w:rsidRPr="00541E47">
        <w:rPr>
          <w:rFonts w:eastAsia="SimSun"/>
          <w:color w:val="000000" w:themeColor="text1"/>
          <w:kern w:val="2"/>
        </w:rPr>
        <w:t xml:space="preserve">to contribute to </w:t>
      </w:r>
      <w:r w:rsidRPr="00541E47">
        <w:rPr>
          <w:rFonts w:eastAsia="SimSun"/>
          <w:color w:val="000000" w:themeColor="text1"/>
          <w:kern w:val="2"/>
        </w:rPr>
        <w:t xml:space="preserve">energy security, </w:t>
      </w:r>
      <w:r w:rsidR="005B2A0E" w:rsidRPr="00541E47">
        <w:rPr>
          <w:rFonts w:eastAsia="SimSun"/>
          <w:color w:val="000000" w:themeColor="text1"/>
          <w:kern w:val="2"/>
        </w:rPr>
        <w:t xml:space="preserve">fight </w:t>
      </w:r>
      <w:r w:rsidRPr="00541E47">
        <w:rPr>
          <w:rFonts w:eastAsia="SimSun"/>
          <w:color w:val="000000" w:themeColor="text1"/>
          <w:kern w:val="2"/>
        </w:rPr>
        <w:t xml:space="preserve">again </w:t>
      </w:r>
      <w:r w:rsidR="005B2A0E" w:rsidRPr="00541E47">
        <w:rPr>
          <w:rFonts w:eastAsia="SimSun"/>
          <w:color w:val="000000" w:themeColor="text1"/>
          <w:kern w:val="2"/>
        </w:rPr>
        <w:t>global warming</w:t>
      </w:r>
      <w:r w:rsidRPr="00541E47">
        <w:rPr>
          <w:rFonts w:eastAsia="SimSun"/>
          <w:color w:val="000000" w:themeColor="text1"/>
          <w:kern w:val="2"/>
        </w:rPr>
        <w:t xml:space="preserve"> and hence rural development.</w:t>
      </w:r>
      <w:r w:rsidR="005B2A0E" w:rsidRPr="00541E47">
        <w:rPr>
          <w:rFonts w:eastAsia="SimSun"/>
          <w:color w:val="000000" w:themeColor="text1"/>
          <w:kern w:val="2"/>
        </w:rPr>
        <w:t xml:space="preserve"> Following the surge in oil prices that occurred in 2008, many countries have implemented biofuels policies and </w:t>
      </w:r>
      <w:r w:rsidRPr="00541E47">
        <w:rPr>
          <w:rFonts w:eastAsia="SimSun"/>
          <w:color w:val="000000" w:themeColor="text1"/>
          <w:kern w:val="2"/>
        </w:rPr>
        <w:t xml:space="preserve">consider </w:t>
      </w:r>
      <w:r w:rsidR="005B2A0E" w:rsidRPr="00541E47">
        <w:rPr>
          <w:rFonts w:eastAsia="SimSun"/>
          <w:color w:val="000000" w:themeColor="text1"/>
          <w:kern w:val="2"/>
        </w:rPr>
        <w:t xml:space="preserve">their development as an alternative </w:t>
      </w:r>
      <w:r w:rsidRPr="00541E47">
        <w:rPr>
          <w:rFonts w:eastAsia="SimSun"/>
          <w:color w:val="000000" w:themeColor="text1"/>
          <w:kern w:val="2"/>
        </w:rPr>
        <w:t xml:space="preserve">for traditional oil </w:t>
      </w:r>
      <w:r w:rsidR="005B2A0E" w:rsidRPr="00541E47">
        <w:rPr>
          <w:rFonts w:eastAsia="SimSun"/>
          <w:color w:val="000000" w:themeColor="text1"/>
          <w:kern w:val="2"/>
        </w:rPr>
        <w:t xml:space="preserve">energy. Thus, </w:t>
      </w:r>
      <w:r w:rsidR="005B2A0E" w:rsidRPr="00541E47">
        <w:rPr>
          <w:color w:val="000000" w:themeColor="text1"/>
        </w:rPr>
        <w:t>many countries are adopting or setting higher biofuel consumption mandates (for example, 30 percent of transport energy in the United States must come from biofuels by 2022) or biofuel, subsidies and special tax arrangements (</w:t>
      </w:r>
      <w:r w:rsidR="005B2A0E" w:rsidRPr="00541E47">
        <w:rPr>
          <w:color w:val="000000" w:themeColor="text1"/>
          <w:lang w:val="en-US"/>
        </w:rPr>
        <w:t>Caramel</w:t>
      </w:r>
      <w:r w:rsidR="005B2A0E" w:rsidRPr="00541E47">
        <w:rPr>
          <w:color w:val="000000" w:themeColor="text1"/>
        </w:rPr>
        <w:t>, 2009).</w:t>
      </w:r>
    </w:p>
    <w:p w:rsidR="005B2A0E" w:rsidRPr="00541E47" w:rsidRDefault="005B2A0E" w:rsidP="000115EF">
      <w:pPr>
        <w:adjustRightInd w:val="0"/>
        <w:snapToGrid w:val="0"/>
        <w:jc w:val="both"/>
        <w:rPr>
          <w:color w:val="000000" w:themeColor="text1"/>
        </w:rPr>
      </w:pPr>
      <w:r w:rsidRPr="00541E47">
        <w:rPr>
          <w:color w:val="000000" w:themeColor="text1"/>
        </w:rPr>
        <w:t>These policies have increased the global biofuel production five-fold over the last two decades (Earth Policy Institute 2010). During 2000–2007</w:t>
      </w:r>
      <w:r w:rsidR="00EA5635" w:rsidRPr="00541E47">
        <w:rPr>
          <w:color w:val="000000" w:themeColor="text1"/>
        </w:rPr>
        <w:t>,</w:t>
      </w:r>
      <w:r w:rsidRPr="00541E47">
        <w:rPr>
          <w:color w:val="000000" w:themeColor="text1"/>
        </w:rPr>
        <w:t xml:space="preserve"> global production </w:t>
      </w:r>
      <w:r w:rsidR="00EA5635" w:rsidRPr="00541E47">
        <w:rPr>
          <w:color w:val="000000" w:themeColor="text1"/>
        </w:rPr>
        <w:t xml:space="preserve">of biofuel </w:t>
      </w:r>
      <w:r w:rsidRPr="00541E47">
        <w:rPr>
          <w:color w:val="000000" w:themeColor="text1"/>
        </w:rPr>
        <w:t>tripled in volume (Coyle 2007). In 2007–2008</w:t>
      </w:r>
      <w:r w:rsidR="00EA5635" w:rsidRPr="00541E47">
        <w:rPr>
          <w:color w:val="000000" w:themeColor="text1"/>
        </w:rPr>
        <w:t>,</w:t>
      </w:r>
      <w:r w:rsidRPr="00541E47">
        <w:rPr>
          <w:color w:val="000000" w:themeColor="text1"/>
        </w:rPr>
        <w:t xml:space="preserve"> the share of ethanol in global gasoline increased from 3.8 to 5.5 percent, while the share of biodiesel in diesel increased from 0.9 to 1.5 percent (UNEP 2009). </w:t>
      </w:r>
    </w:p>
    <w:p w:rsidR="005B2A0E" w:rsidRPr="00541E47" w:rsidRDefault="005B2A0E" w:rsidP="000115EF">
      <w:pPr>
        <w:adjustRightInd w:val="0"/>
        <w:snapToGrid w:val="0"/>
        <w:jc w:val="both"/>
        <w:rPr>
          <w:color w:val="000000" w:themeColor="text1"/>
        </w:rPr>
      </w:pPr>
      <w:r w:rsidRPr="00541E47">
        <w:rPr>
          <w:color w:val="000000" w:themeColor="text1"/>
        </w:rPr>
        <w:t xml:space="preserve">Biofuel </w:t>
      </w:r>
      <w:r w:rsidR="00EA5635" w:rsidRPr="00541E47">
        <w:rPr>
          <w:color w:val="000000" w:themeColor="text1"/>
        </w:rPr>
        <w:t>expansion</w:t>
      </w:r>
      <w:r w:rsidRPr="00541E47">
        <w:rPr>
          <w:color w:val="000000" w:themeColor="text1"/>
        </w:rPr>
        <w:t xml:space="preserve">, however, </w:t>
      </w:r>
      <w:r w:rsidR="00EA5635" w:rsidRPr="00541E47">
        <w:rPr>
          <w:color w:val="000000" w:themeColor="text1"/>
        </w:rPr>
        <w:t xml:space="preserve">leads to </w:t>
      </w:r>
      <w:r w:rsidRPr="00541E47">
        <w:rPr>
          <w:color w:val="000000" w:themeColor="text1"/>
        </w:rPr>
        <w:t>controversy (</w:t>
      </w:r>
      <w:r w:rsidR="00432597" w:rsidRPr="00541E47">
        <w:rPr>
          <w:color w:val="000000" w:themeColor="text1"/>
        </w:rPr>
        <w:t xml:space="preserve">Channing, Pauw and </w:t>
      </w:r>
      <w:r w:rsidRPr="00541E47">
        <w:rPr>
          <w:color w:val="000000" w:themeColor="text1"/>
        </w:rPr>
        <w:t xml:space="preserve">Thurlow, 2010). Many </w:t>
      </w:r>
      <w:r w:rsidR="001574A2" w:rsidRPr="00541E47">
        <w:rPr>
          <w:color w:val="000000" w:themeColor="text1"/>
        </w:rPr>
        <w:t xml:space="preserve">analyses show that biofuels can </w:t>
      </w:r>
      <w:r w:rsidRPr="00541E47">
        <w:rPr>
          <w:color w:val="000000" w:themeColor="text1"/>
        </w:rPr>
        <w:t xml:space="preserve">reduce greenhouse gases (Cohen et al. 2008; Coyle 2007). </w:t>
      </w:r>
      <w:r w:rsidR="00A23BCE" w:rsidRPr="00541E47">
        <w:rPr>
          <w:color w:val="000000" w:themeColor="text1"/>
        </w:rPr>
        <w:t>The</w:t>
      </w:r>
      <w:r w:rsidRPr="00541E47">
        <w:rPr>
          <w:color w:val="000000" w:themeColor="text1"/>
        </w:rPr>
        <w:t xml:space="preserve"> increasing demand by the biofuel sector for feedstocks has </w:t>
      </w:r>
      <w:r w:rsidR="00EA5635" w:rsidRPr="00541E47">
        <w:rPr>
          <w:color w:val="000000" w:themeColor="text1"/>
        </w:rPr>
        <w:t xml:space="preserve">also </w:t>
      </w:r>
      <w:r w:rsidRPr="00541E47">
        <w:rPr>
          <w:color w:val="000000" w:themeColor="text1"/>
        </w:rPr>
        <w:t xml:space="preserve">contributed to the </w:t>
      </w:r>
      <w:r w:rsidRPr="00541E47">
        <w:rPr>
          <w:color w:val="000000" w:themeColor="text1"/>
          <w:lang w:val="en-US"/>
        </w:rPr>
        <w:t>signi</w:t>
      </w:r>
      <w:r w:rsidRPr="00541E47">
        <w:rPr>
          <w:color w:val="000000" w:themeColor="text1"/>
        </w:rPr>
        <w:t>fi</w:t>
      </w:r>
      <w:r w:rsidRPr="00541E47">
        <w:rPr>
          <w:color w:val="000000" w:themeColor="text1"/>
          <w:lang w:val="en-US"/>
        </w:rPr>
        <w:t xml:space="preserve">cant </w:t>
      </w:r>
      <w:r w:rsidRPr="00541E47">
        <w:rPr>
          <w:color w:val="000000" w:themeColor="text1"/>
        </w:rPr>
        <w:t xml:space="preserve">rise of agricultural commodity prices </w:t>
      </w:r>
      <w:r w:rsidRPr="00541E47">
        <w:rPr>
          <w:color w:val="000000" w:themeColor="text1"/>
          <w:lang w:val="en-US"/>
        </w:rPr>
        <w:t>particularly</w:t>
      </w:r>
      <w:r w:rsidRPr="00541E47">
        <w:rPr>
          <w:color w:val="000000" w:themeColor="text1"/>
        </w:rPr>
        <w:t xml:space="preserve"> since 2006 (Mitchell 2008; Paarlberg 2010; Westhoff 2010</w:t>
      </w:r>
      <w:r w:rsidR="002C7CE6" w:rsidRPr="00541E47">
        <w:rPr>
          <w:color w:val="000000" w:themeColor="text1"/>
        </w:rPr>
        <w:t>, Schlenker, 2010, Almirall, Aufhammer and Berck, 2010</w:t>
      </w:r>
      <w:r w:rsidRPr="00541E47">
        <w:rPr>
          <w:color w:val="000000" w:themeColor="text1"/>
        </w:rPr>
        <w:t xml:space="preserve">). This price increase, has </w:t>
      </w:r>
      <w:r w:rsidR="00A23BCE" w:rsidRPr="00541E47">
        <w:rPr>
          <w:color w:val="000000" w:themeColor="text1"/>
        </w:rPr>
        <w:t xml:space="preserve">then </w:t>
      </w:r>
      <w:r w:rsidRPr="00541E47">
        <w:rPr>
          <w:color w:val="000000" w:themeColor="text1"/>
        </w:rPr>
        <w:t xml:space="preserve">triggered concerns </w:t>
      </w:r>
      <w:r w:rsidR="004E0C38" w:rsidRPr="00541E47">
        <w:rPr>
          <w:color w:val="000000" w:themeColor="text1"/>
        </w:rPr>
        <w:t>f</w:t>
      </w:r>
      <w:r w:rsidRPr="00541E47">
        <w:rPr>
          <w:color w:val="000000" w:themeColor="text1"/>
        </w:rPr>
        <w:t xml:space="preserve">or food security and poverty around the world (FAO 2008a; IFPRI 2008; Rosegrant 2008; Headey and Fan 2008,Tangermann 2008; </w:t>
      </w:r>
      <w:bookmarkStart w:id="0" w:name="bvt1"/>
      <w:bookmarkEnd w:id="0"/>
      <w:r w:rsidR="00C96721" w:rsidRPr="00541E47">
        <w:rPr>
          <w:color w:val="000000" w:themeColor="text1"/>
        </w:rPr>
        <w:fldChar w:fldCharType="begin"/>
      </w:r>
      <w:r w:rsidRPr="00541E47">
        <w:rPr>
          <w:color w:val="000000" w:themeColor="text1"/>
        </w:rPr>
        <w:instrText xml:space="preserve"> HYPERLINK "http://www.sciencedirect.com/science?_ob=ArticleURL&amp;_udi=B6VP6-4TY8WHJ-1&amp;_user=3837164&amp;_coverDate=06%2F30%2F2009&amp;_alid=1368041903&amp;_rdoc=44&amp;_fmt=high&amp;_orig=search&amp;_cdi=6198&amp;_sort=r&amp;_docanchor=&amp;view=c&amp;_ct=1277&amp;_acct=C000054348&amp;_version=1&amp;_urlVersion=0&amp;_userid=3837164&amp;md5=1ae12a5a02fe0ef0438d599efce3996e" \l "vt1#vt1" </w:instrText>
      </w:r>
      <w:r w:rsidR="00C96721" w:rsidRPr="00541E47">
        <w:rPr>
          <w:color w:val="000000" w:themeColor="text1"/>
        </w:rPr>
        <w:fldChar w:fldCharType="separate"/>
      </w:r>
      <w:r w:rsidRPr="00541E47">
        <w:rPr>
          <w:color w:val="000000" w:themeColor="text1"/>
        </w:rPr>
        <w:t>Ewing</w:t>
      </w:r>
      <w:r w:rsidR="00C96721" w:rsidRPr="00541E47">
        <w:rPr>
          <w:color w:val="000000" w:themeColor="text1"/>
        </w:rPr>
        <w:fldChar w:fldCharType="end"/>
      </w:r>
      <w:r w:rsidRPr="00541E47">
        <w:rPr>
          <w:color w:val="000000" w:themeColor="text1"/>
        </w:rPr>
        <w:t xml:space="preserve"> and </w:t>
      </w:r>
      <w:bookmarkStart w:id="1" w:name="bvt2"/>
      <w:bookmarkEnd w:id="1"/>
      <w:r w:rsidR="00C96721" w:rsidRPr="00541E47">
        <w:rPr>
          <w:color w:val="000000" w:themeColor="text1"/>
        </w:rPr>
        <w:fldChar w:fldCharType="begin"/>
      </w:r>
      <w:r w:rsidRPr="00541E47">
        <w:rPr>
          <w:color w:val="000000" w:themeColor="text1"/>
        </w:rPr>
        <w:instrText xml:space="preserve"> HYPERLINK "http://www.sciencedirect.com/science?_ob=ArticleURL&amp;_udi=B6VP6-4TY8WHJ-1&amp;_user=3837164&amp;_coverDate=06%2F30%2F2009&amp;_alid=1368041903&amp;_rdoc=44&amp;_fmt=high&amp;_orig=search&amp;_cdi=6198&amp;_sort=r&amp;_docanchor=&amp;view=c&amp;_ct=1277&amp;_acct=C000054348&amp;_version=1&amp;_urlVersion=0&amp;_userid=3837164&amp;md5=1ae12a5a02fe0ef0438d599efce3996e" \l "vt2#vt2" </w:instrText>
      </w:r>
      <w:r w:rsidR="00C96721" w:rsidRPr="00541E47">
        <w:rPr>
          <w:color w:val="000000" w:themeColor="text1"/>
        </w:rPr>
        <w:fldChar w:fldCharType="separate"/>
      </w:r>
      <w:r w:rsidRPr="00541E47">
        <w:rPr>
          <w:color w:val="000000" w:themeColor="text1"/>
        </w:rPr>
        <w:t>Msangi</w:t>
      </w:r>
      <w:r w:rsidR="00C96721" w:rsidRPr="00541E47">
        <w:rPr>
          <w:color w:val="000000" w:themeColor="text1"/>
        </w:rPr>
        <w:fldChar w:fldCharType="end"/>
      </w:r>
      <w:r w:rsidRPr="00541E47">
        <w:rPr>
          <w:color w:val="000000" w:themeColor="text1"/>
        </w:rPr>
        <w:t xml:space="preserve"> 2009, de Hoyos and Medvedev 2009). </w:t>
      </w:r>
    </w:p>
    <w:p w:rsidR="005B2A0E" w:rsidRPr="00541E47" w:rsidRDefault="005B2A0E" w:rsidP="00A23BCE">
      <w:pPr>
        <w:jc w:val="both"/>
        <w:rPr>
          <w:color w:val="000000" w:themeColor="text1"/>
        </w:rPr>
      </w:pPr>
      <w:r w:rsidRPr="00541E47">
        <w:rPr>
          <w:color w:val="000000" w:themeColor="text1"/>
        </w:rPr>
        <w:t>The effects of biofuels and the higher prices that their emergence may cause on the populations of developing countries differ</w:t>
      </w:r>
      <w:r w:rsidR="001574A2" w:rsidRPr="00541E47">
        <w:rPr>
          <w:color w:val="000000" w:themeColor="text1"/>
        </w:rPr>
        <w:t xml:space="preserve"> from a country to another</w:t>
      </w:r>
      <w:r w:rsidRPr="00541E47">
        <w:rPr>
          <w:color w:val="000000" w:themeColor="text1"/>
        </w:rPr>
        <w:t>, helping some</w:t>
      </w:r>
      <w:r w:rsidR="004E0C38" w:rsidRPr="00541E47">
        <w:rPr>
          <w:color w:val="000000" w:themeColor="text1"/>
        </w:rPr>
        <w:t xml:space="preserve"> people</w:t>
      </w:r>
      <w:r w:rsidRPr="00541E47">
        <w:rPr>
          <w:color w:val="000000" w:themeColor="text1"/>
        </w:rPr>
        <w:t xml:space="preserve">, while </w:t>
      </w:r>
      <w:r w:rsidR="004E0C38" w:rsidRPr="00541E47">
        <w:rPr>
          <w:color w:val="000000" w:themeColor="text1"/>
        </w:rPr>
        <w:t xml:space="preserve">some other ones are hurted </w:t>
      </w:r>
      <w:r w:rsidR="00432597" w:rsidRPr="00541E47">
        <w:rPr>
          <w:color w:val="000000" w:themeColor="text1"/>
        </w:rPr>
        <w:t>(</w:t>
      </w:r>
      <w:r w:rsidR="00432597" w:rsidRPr="00541E47">
        <w:rPr>
          <w:color w:val="000000" w:themeColor="text1"/>
          <w:szCs w:val="21"/>
        </w:rPr>
        <w:t>Jikun, Yang, Rozelle, Msangi and Weersink, 2009).</w:t>
      </w:r>
      <w:r w:rsidR="00432597" w:rsidRPr="00541E47">
        <w:rPr>
          <w:color w:val="000000" w:themeColor="text1"/>
        </w:rPr>
        <w:t xml:space="preserve"> </w:t>
      </w:r>
      <w:r w:rsidRPr="00541E47">
        <w:rPr>
          <w:color w:val="000000" w:themeColor="text1"/>
        </w:rPr>
        <w:t>Similarly, within a given country, households can be differently affected.</w:t>
      </w:r>
    </w:p>
    <w:p w:rsidR="005B2A0E" w:rsidRPr="00541E47" w:rsidRDefault="005B2A0E" w:rsidP="000115EF">
      <w:pPr>
        <w:jc w:val="both"/>
        <w:textAlignment w:val="top"/>
        <w:rPr>
          <w:color w:val="000000" w:themeColor="text1"/>
        </w:rPr>
      </w:pPr>
      <w:r w:rsidRPr="00541E47">
        <w:rPr>
          <w:color w:val="000000" w:themeColor="text1"/>
        </w:rPr>
        <w:t xml:space="preserve">Like most of the non-oil producing countries, Senegal is highly dependent on world market supplies. Policymakers have sought to find alternatives to fossil fuels (oil and gas in particular), which have </w:t>
      </w:r>
      <w:r w:rsidR="004E0C38" w:rsidRPr="00541E47">
        <w:rPr>
          <w:color w:val="000000" w:themeColor="text1"/>
        </w:rPr>
        <w:t xml:space="preserve">experienced </w:t>
      </w:r>
      <w:r w:rsidRPr="00541E47">
        <w:rPr>
          <w:color w:val="000000" w:themeColor="text1"/>
        </w:rPr>
        <w:t xml:space="preserve">a steady rise in prices. Since the surge of oil prices in 2008, </w:t>
      </w:r>
      <w:r w:rsidR="004E0C38" w:rsidRPr="00541E47">
        <w:rPr>
          <w:color w:val="000000" w:themeColor="text1"/>
        </w:rPr>
        <w:t xml:space="preserve">policy makers have expressed the view of developing </w:t>
      </w:r>
      <w:r w:rsidRPr="00541E47">
        <w:rPr>
          <w:color w:val="000000" w:themeColor="text1"/>
        </w:rPr>
        <w:t xml:space="preserve">biofuels </w:t>
      </w:r>
      <w:r w:rsidR="004E0C38" w:rsidRPr="00541E47">
        <w:rPr>
          <w:color w:val="000000" w:themeColor="text1"/>
        </w:rPr>
        <w:t xml:space="preserve">production </w:t>
      </w:r>
      <w:r w:rsidRPr="00541E47">
        <w:rPr>
          <w:color w:val="000000" w:themeColor="text1"/>
        </w:rPr>
        <w:t>as a substitute</w:t>
      </w:r>
      <w:r w:rsidR="004E0C38" w:rsidRPr="00541E47">
        <w:rPr>
          <w:color w:val="000000" w:themeColor="text1"/>
        </w:rPr>
        <w:t xml:space="preserve"> to fossil energy</w:t>
      </w:r>
      <w:r w:rsidRPr="00541E47">
        <w:rPr>
          <w:color w:val="000000" w:themeColor="text1"/>
        </w:rPr>
        <w:t xml:space="preserve">. </w:t>
      </w:r>
      <w:r w:rsidRPr="00541E47">
        <w:rPr>
          <w:color w:val="000000" w:themeColor="text1"/>
          <w:lang w:val="en-US"/>
        </w:rPr>
        <w:t xml:space="preserve">Implementing a biofuel policy is supposed to adress energy security issue sought by policymakers. </w:t>
      </w:r>
      <w:r w:rsidRPr="00541E47">
        <w:rPr>
          <w:color w:val="000000" w:themeColor="text1"/>
        </w:rPr>
        <w:t xml:space="preserve">Supplying bioethanol and biodiesel to </w:t>
      </w:r>
      <w:r w:rsidRPr="00541E47">
        <w:rPr>
          <w:color w:val="000000" w:themeColor="text1"/>
          <w:lang w:val="en-US"/>
        </w:rPr>
        <w:t>the d</w:t>
      </w:r>
      <w:r w:rsidRPr="00541E47">
        <w:rPr>
          <w:color w:val="000000" w:themeColor="text1"/>
        </w:rPr>
        <w:t>omestic market based on the local production of sugarcane and jatropha seems to be the main options for policymakers to choose between</w:t>
      </w:r>
    </w:p>
    <w:p w:rsidR="005B2A0E" w:rsidRPr="00541E47" w:rsidRDefault="005B2A0E" w:rsidP="000115EF">
      <w:pPr>
        <w:jc w:val="both"/>
        <w:rPr>
          <w:color w:val="000000" w:themeColor="text1"/>
        </w:rPr>
      </w:pPr>
      <w:r w:rsidRPr="00541E47">
        <w:rPr>
          <w:color w:val="000000" w:themeColor="text1"/>
        </w:rPr>
        <w:t>Jatropha has long been part of the traditional agricultural scene in Senegal, being planted as a fence (</w:t>
      </w:r>
      <w:r w:rsidRPr="00541E47">
        <w:rPr>
          <w:i/>
          <w:color w:val="000000" w:themeColor="text1"/>
        </w:rPr>
        <w:t>haie vive</w:t>
      </w:r>
      <w:r w:rsidRPr="00541E47">
        <w:rPr>
          <w:color w:val="000000" w:themeColor="text1"/>
        </w:rPr>
        <w:t xml:space="preserve">) and used at the village level for medicinal purposes. However, since the Government announced the Special Biofuel Program 2007-12, Jatropha appears to be a potentially profitable sector for farmers. The private sector has started investing in jatropha plantations. After this announcement, many foreign investors have made requests to access </w:t>
      </w:r>
      <w:r w:rsidR="004E0C38" w:rsidRPr="00541E47">
        <w:rPr>
          <w:color w:val="000000" w:themeColor="text1"/>
        </w:rPr>
        <w:t xml:space="preserve">to </w:t>
      </w:r>
      <w:r w:rsidRPr="00541E47">
        <w:rPr>
          <w:color w:val="000000" w:themeColor="text1"/>
        </w:rPr>
        <w:t>agricultural land for jatropha production</w:t>
      </w:r>
      <w:r w:rsidR="004E0C38" w:rsidRPr="00541E47">
        <w:rPr>
          <w:color w:val="000000" w:themeColor="text1"/>
        </w:rPr>
        <w:t xml:space="preserve"> purpose</w:t>
      </w:r>
      <w:r w:rsidRPr="00541E47">
        <w:rPr>
          <w:color w:val="000000" w:themeColor="text1"/>
        </w:rPr>
        <w:t xml:space="preserve">. The development of a commercial jatropha-based biodiesel industry is still at a very early stage, with no dedicated oil extraction mills or biodiesel processing plants. As per bioethanol, Senegalese sugar company (CSS) installed a 60,000 litres/day distillery </w:t>
      </w:r>
      <w:r w:rsidR="004E0C38" w:rsidRPr="00541E47">
        <w:rPr>
          <w:color w:val="000000" w:themeColor="text1"/>
        </w:rPr>
        <w:t>in 2007</w:t>
      </w:r>
      <w:r w:rsidRPr="00541E47">
        <w:rPr>
          <w:color w:val="000000" w:themeColor="text1"/>
        </w:rPr>
        <w:t>, but has not been able to supply the domestic market because of regulatory and infrastructural deficiencies in the blended fuel market, including transportation and storage problems concerning the oil company Société Africaine de Raffinage (SAR)</w:t>
      </w:r>
      <w:r w:rsidR="004E0C38" w:rsidRPr="00541E47">
        <w:rPr>
          <w:color w:val="000000" w:themeColor="text1"/>
        </w:rPr>
        <w:t xml:space="preserve"> </w:t>
      </w:r>
      <w:r w:rsidRPr="00541E47">
        <w:rPr>
          <w:color w:val="000000" w:themeColor="text1"/>
        </w:rPr>
        <w:t xml:space="preserve">(Evans, 2010). </w:t>
      </w:r>
    </w:p>
    <w:p w:rsidR="005B2A0E" w:rsidRPr="00541E47" w:rsidRDefault="005B2A0E" w:rsidP="000115EF">
      <w:pPr>
        <w:jc w:val="both"/>
        <w:textAlignment w:val="top"/>
        <w:rPr>
          <w:color w:val="000000" w:themeColor="text1"/>
          <w:lang w:val="en-US"/>
        </w:rPr>
      </w:pPr>
      <w:r w:rsidRPr="00541E47">
        <w:rPr>
          <w:color w:val="000000" w:themeColor="text1"/>
          <w:lang w:val="en-US"/>
        </w:rPr>
        <w:t xml:space="preserve">Senegalese imports are dominated by oil products, machinery and cereals. In 2009, oil imports accounted 410 billions of cfa which represented a share of 19% of total imports. Exports of refined oil accounted 208 billions of cfa which represented a share of 23% of total exports (République du Sénégal, 2009). Hence, petroleum products are an important share of foreign trade. On the supply side, refined oil </w:t>
      </w:r>
      <w:r w:rsidR="004E0C38" w:rsidRPr="00541E47">
        <w:rPr>
          <w:color w:val="000000" w:themeColor="text1"/>
          <w:lang w:val="en-US"/>
        </w:rPr>
        <w:t xml:space="preserve">sector </w:t>
      </w:r>
      <w:r w:rsidRPr="00541E47">
        <w:rPr>
          <w:color w:val="000000" w:themeColor="text1"/>
          <w:lang w:val="en-US"/>
        </w:rPr>
        <w:t xml:space="preserve">seems to be input intensive as only 34% of </w:t>
      </w:r>
      <w:r w:rsidR="004E0C38" w:rsidRPr="00541E47">
        <w:rPr>
          <w:color w:val="000000" w:themeColor="text1"/>
          <w:lang w:val="en-US"/>
        </w:rPr>
        <w:t xml:space="preserve">its </w:t>
      </w:r>
      <w:r w:rsidRPr="00541E47">
        <w:rPr>
          <w:color w:val="000000" w:themeColor="text1"/>
          <w:lang w:val="en-US"/>
        </w:rPr>
        <w:t xml:space="preserve">production is allocated to value added and hence to returns to factors. However, even though the biofuel sector is at an early stage, about 80% of jatropha and ethanol production are devoted to value added. Oil price changes affect household through their basket consumption where petrolum products have an important weight. Hence, in an economy where 50% of household are poor, biofuel expansion can induce </w:t>
      </w:r>
      <w:r w:rsidRPr="00541E47">
        <w:rPr>
          <w:color w:val="000000" w:themeColor="text1"/>
          <w:lang w:val="en-US"/>
        </w:rPr>
        <w:lastRenderedPageBreak/>
        <w:t>important price and income effects. Therefore, energy policy may be crucial in the pursuit of MDGs</w:t>
      </w:r>
      <w:r w:rsidR="00305578" w:rsidRPr="00541E47">
        <w:rPr>
          <w:color w:val="000000" w:themeColor="text1"/>
          <w:lang w:val="en-US"/>
        </w:rPr>
        <w:t xml:space="preserve"> in an economy </w:t>
      </w:r>
      <w:r w:rsidRPr="00541E47">
        <w:rPr>
          <w:color w:val="000000" w:themeColor="text1"/>
          <w:lang w:val="en-US"/>
        </w:rPr>
        <w:t xml:space="preserve">where reducing poverty by half is the main </w:t>
      </w:r>
      <w:r w:rsidRPr="00541E47">
        <w:rPr>
          <w:color w:val="000000" w:themeColor="text1"/>
        </w:rPr>
        <w:t>goal.</w:t>
      </w:r>
    </w:p>
    <w:p w:rsidR="005B2A0E" w:rsidRPr="00541E47" w:rsidRDefault="005B2A0E" w:rsidP="000115EF">
      <w:pPr>
        <w:adjustRightInd w:val="0"/>
        <w:snapToGrid w:val="0"/>
        <w:jc w:val="both"/>
        <w:rPr>
          <w:color w:val="000000" w:themeColor="text1"/>
          <w:lang w:val="en-US"/>
        </w:rPr>
      </w:pPr>
    </w:p>
    <w:p w:rsidR="005B2A0E" w:rsidRPr="00541E47" w:rsidRDefault="005B2A0E" w:rsidP="00432597">
      <w:pPr>
        <w:autoSpaceDE w:val="0"/>
        <w:autoSpaceDN w:val="0"/>
        <w:adjustRightInd w:val="0"/>
        <w:jc w:val="both"/>
        <w:rPr>
          <w:color w:val="000000" w:themeColor="text1"/>
        </w:rPr>
      </w:pPr>
      <w:r w:rsidRPr="00541E47">
        <w:rPr>
          <w:color w:val="000000" w:themeColor="text1"/>
        </w:rPr>
        <w:t xml:space="preserve">Thanks to the rapidly biofuel production, efforts has </w:t>
      </w:r>
      <w:r w:rsidR="00305578" w:rsidRPr="00541E47">
        <w:rPr>
          <w:color w:val="000000" w:themeColor="text1"/>
        </w:rPr>
        <w:t xml:space="preserve">been </w:t>
      </w:r>
      <w:r w:rsidRPr="00541E47">
        <w:rPr>
          <w:rFonts w:eastAsiaTheme="minorHAnsi"/>
          <w:color w:val="000000" w:themeColor="text1"/>
          <w:lang w:eastAsia="en-US"/>
        </w:rPr>
        <w:t>done in modeling its impacts using partial equilibrium approach (Collins, 2008, Lipsky 2008, Mitchell, 2008) or general equilibrium approach (</w:t>
      </w:r>
      <w:r w:rsidRPr="00541E47">
        <w:rPr>
          <w:color w:val="000000" w:themeColor="text1"/>
        </w:rPr>
        <w:t xml:space="preserve">Dixon, Osborne and Rimmer, 2007; Reilly and Paltsev, 2007; Banse et al. 2008; Boeters et al., 2008; Kretschmer et al., 2008; Rosegrant </w:t>
      </w:r>
      <w:r w:rsidRPr="00541E47">
        <w:rPr>
          <w:i/>
          <w:color w:val="000000" w:themeColor="text1"/>
        </w:rPr>
        <w:t>et al.</w:t>
      </w:r>
      <w:r w:rsidRPr="00541E47">
        <w:rPr>
          <w:color w:val="000000" w:themeColor="text1"/>
        </w:rPr>
        <w:t xml:space="preserve"> 2008</w:t>
      </w:r>
      <w:r w:rsidR="00432597" w:rsidRPr="00541E47">
        <w:rPr>
          <w:color w:val="000000" w:themeColor="text1"/>
        </w:rPr>
        <w:t>,</w:t>
      </w:r>
      <w:r w:rsidR="00432597" w:rsidRPr="00541E47">
        <w:rPr>
          <w:bCs/>
          <w:color w:val="000000" w:themeColor="text1"/>
          <w:lang w:val="en-US" w:eastAsia="en-US"/>
        </w:rPr>
        <w:t xml:space="preserve"> Channing, Pauw</w:t>
      </w:r>
      <w:r w:rsidR="00432597" w:rsidRPr="00541E47">
        <w:rPr>
          <w:bCs/>
          <w:color w:val="000000" w:themeColor="text1"/>
        </w:rPr>
        <w:t xml:space="preserve"> and</w:t>
      </w:r>
      <w:r w:rsidR="00432597" w:rsidRPr="00541E47">
        <w:rPr>
          <w:bCs/>
          <w:color w:val="000000" w:themeColor="text1"/>
          <w:lang w:val="en-US" w:eastAsia="en-US"/>
        </w:rPr>
        <w:t xml:space="preserve"> Thurlow, 2010</w:t>
      </w:r>
      <w:r w:rsidR="00432597" w:rsidRPr="00541E47">
        <w:rPr>
          <w:color w:val="000000" w:themeColor="text1"/>
        </w:rPr>
        <w:t xml:space="preserve">, </w:t>
      </w:r>
      <w:r w:rsidR="00432597" w:rsidRPr="00541E47">
        <w:rPr>
          <w:bCs/>
          <w:color w:val="000000" w:themeColor="text1"/>
        </w:rPr>
        <w:t>Channing Arndt and al, 2008</w:t>
      </w:r>
      <w:r w:rsidR="00305578" w:rsidRPr="00541E47">
        <w:rPr>
          <w:bCs/>
          <w:color w:val="000000" w:themeColor="text1"/>
        </w:rPr>
        <w:t>)</w:t>
      </w:r>
      <w:r w:rsidR="00432597" w:rsidRPr="00541E47">
        <w:rPr>
          <w:color w:val="000000" w:themeColor="text1"/>
        </w:rPr>
        <w:t xml:space="preserve">. </w:t>
      </w:r>
      <w:r w:rsidR="00305578" w:rsidRPr="00541E47">
        <w:rPr>
          <w:rFonts w:eastAsiaTheme="minorHAnsi"/>
          <w:color w:val="000000" w:themeColor="text1"/>
          <w:lang w:eastAsia="en-US"/>
        </w:rPr>
        <w:t>The g</w:t>
      </w:r>
      <w:r w:rsidRPr="00541E47">
        <w:rPr>
          <w:rFonts w:eastAsiaTheme="minorHAnsi"/>
          <w:color w:val="000000" w:themeColor="text1"/>
          <w:lang w:eastAsia="en-US"/>
        </w:rPr>
        <w:t>eneral equilibrium model</w:t>
      </w:r>
      <w:r w:rsidR="00E0607D" w:rsidRPr="00541E47">
        <w:rPr>
          <w:rFonts w:eastAsiaTheme="minorHAnsi"/>
          <w:color w:val="000000" w:themeColor="text1"/>
          <w:lang w:eastAsia="en-US"/>
        </w:rPr>
        <w:t>s</w:t>
      </w:r>
      <w:r w:rsidRPr="00541E47">
        <w:rPr>
          <w:color w:val="000000" w:themeColor="text1"/>
        </w:rPr>
        <w:t xml:space="preserve"> </w:t>
      </w:r>
      <w:r w:rsidRPr="00541E47">
        <w:rPr>
          <w:rFonts w:eastAsiaTheme="minorHAnsi"/>
          <w:color w:val="000000" w:themeColor="text1"/>
          <w:lang w:eastAsia="en-US"/>
        </w:rPr>
        <w:t xml:space="preserve">generate long-term impacts and </w:t>
      </w:r>
      <w:r w:rsidRPr="00541E47">
        <w:rPr>
          <w:color w:val="000000" w:themeColor="text1"/>
        </w:rPr>
        <w:t xml:space="preserve">take </w:t>
      </w:r>
      <w:r w:rsidR="00305578" w:rsidRPr="00541E47">
        <w:rPr>
          <w:color w:val="000000" w:themeColor="text1"/>
        </w:rPr>
        <w:t xml:space="preserve">into </w:t>
      </w:r>
      <w:r w:rsidRPr="00541E47">
        <w:rPr>
          <w:color w:val="000000" w:themeColor="text1"/>
        </w:rPr>
        <w:t>account i</w:t>
      </w:r>
      <w:r w:rsidRPr="00541E47">
        <w:rPr>
          <w:rFonts w:eastAsiaTheme="minorHAnsi"/>
          <w:color w:val="000000" w:themeColor="text1"/>
          <w:lang w:eastAsia="en-US"/>
        </w:rPr>
        <w:t>nteractions</w:t>
      </w:r>
      <w:r w:rsidRPr="00541E47">
        <w:rPr>
          <w:color w:val="000000" w:themeColor="text1"/>
        </w:rPr>
        <w:t xml:space="preserve"> between various e</w:t>
      </w:r>
      <w:r w:rsidR="00305578" w:rsidRPr="00541E47">
        <w:rPr>
          <w:color w:val="000000" w:themeColor="text1"/>
        </w:rPr>
        <w:t>conomic sectors and agents while</w:t>
      </w:r>
      <w:r w:rsidRPr="00541E47">
        <w:rPr>
          <w:color w:val="000000" w:themeColor="text1"/>
        </w:rPr>
        <w:t xml:space="preserve"> considering the macroeconomic constraints under which they operate. Thus they </w:t>
      </w:r>
      <w:r w:rsidRPr="00541E47">
        <w:rPr>
          <w:rFonts w:eastAsiaTheme="minorHAnsi"/>
          <w:color w:val="000000" w:themeColor="text1"/>
          <w:lang w:eastAsia="en-US"/>
        </w:rPr>
        <w:t xml:space="preserve">are well suited for the study of biofuel production impact. </w:t>
      </w:r>
      <w:r w:rsidR="00AD7765" w:rsidRPr="00541E47">
        <w:rPr>
          <w:color w:val="000000" w:themeColor="text1"/>
        </w:rPr>
        <w:t xml:space="preserve">However, most of them have no explicit accounting for a biofuel supply and demand sectors limiting their capabilities to capture the complexities of global biofuel and food markets impacts. </w:t>
      </w:r>
      <w:r w:rsidRPr="00541E47">
        <w:rPr>
          <w:color w:val="000000" w:themeColor="text1"/>
        </w:rPr>
        <w:t xml:space="preserve">Efforts have been done to integrate bioenergy sectors in the SAM underlying the CGE models (Taheripour et al., 2007; Birur, Hertel and Tyner, 2008; </w:t>
      </w:r>
      <w:r w:rsidRPr="00541E47">
        <w:rPr>
          <w:bCs/>
          <w:color w:val="000000" w:themeColor="text1"/>
        </w:rPr>
        <w:t>Channing Arndt and al, 2008</w:t>
      </w:r>
      <w:r w:rsidR="00FE0190" w:rsidRPr="00541E47">
        <w:rPr>
          <w:bCs/>
          <w:color w:val="000000" w:themeColor="text1"/>
        </w:rPr>
        <w:t xml:space="preserve">, </w:t>
      </w:r>
      <w:r w:rsidR="00FE0190" w:rsidRPr="00541E47">
        <w:rPr>
          <w:bCs/>
          <w:color w:val="000000" w:themeColor="text1"/>
          <w:lang w:val="en-US" w:eastAsia="en-US"/>
        </w:rPr>
        <w:t>Channing, Pauw</w:t>
      </w:r>
      <w:r w:rsidR="00FE0190" w:rsidRPr="00541E47">
        <w:rPr>
          <w:bCs/>
          <w:color w:val="000000" w:themeColor="text1"/>
        </w:rPr>
        <w:t xml:space="preserve"> and</w:t>
      </w:r>
      <w:r w:rsidR="00FE0190" w:rsidRPr="00541E47">
        <w:rPr>
          <w:bCs/>
          <w:color w:val="000000" w:themeColor="text1"/>
          <w:lang w:val="en-US" w:eastAsia="en-US"/>
        </w:rPr>
        <w:t xml:space="preserve"> Thurlow, 2010</w:t>
      </w:r>
      <w:r w:rsidRPr="00541E47">
        <w:rPr>
          <w:bCs/>
          <w:color w:val="000000" w:themeColor="text1"/>
        </w:rPr>
        <w:t xml:space="preserve">). </w:t>
      </w:r>
    </w:p>
    <w:p w:rsidR="005A11B6" w:rsidRPr="00541E47" w:rsidRDefault="005B2A0E" w:rsidP="000115EF">
      <w:pPr>
        <w:autoSpaceDE w:val="0"/>
        <w:autoSpaceDN w:val="0"/>
        <w:adjustRightInd w:val="0"/>
        <w:jc w:val="both"/>
        <w:rPr>
          <w:color w:val="000000" w:themeColor="text1"/>
        </w:rPr>
      </w:pPr>
      <w:r w:rsidRPr="00541E47">
        <w:rPr>
          <w:color w:val="000000" w:themeColor="text1"/>
        </w:rPr>
        <w:t xml:space="preserve">This paper uses a dynamic computable general equilibrium (DCGE) model of Senegal to estimate the </w:t>
      </w:r>
      <w:r w:rsidR="001E1215" w:rsidRPr="00541E47">
        <w:rPr>
          <w:color w:val="000000" w:themeColor="text1"/>
        </w:rPr>
        <w:t xml:space="preserve">potential </w:t>
      </w:r>
      <w:r w:rsidR="00305578" w:rsidRPr="00541E47">
        <w:rPr>
          <w:color w:val="000000" w:themeColor="text1"/>
        </w:rPr>
        <w:t xml:space="preserve">effects </w:t>
      </w:r>
      <w:r w:rsidRPr="00541E47">
        <w:rPr>
          <w:color w:val="000000" w:themeColor="text1"/>
        </w:rPr>
        <w:t xml:space="preserve">of </w:t>
      </w:r>
      <w:r w:rsidR="00305578" w:rsidRPr="00541E47">
        <w:rPr>
          <w:color w:val="000000" w:themeColor="text1"/>
        </w:rPr>
        <w:t xml:space="preserve">a morld </w:t>
      </w:r>
      <w:r w:rsidRPr="00541E47">
        <w:rPr>
          <w:color w:val="000000" w:themeColor="text1"/>
        </w:rPr>
        <w:t xml:space="preserve">biofuel boom on the </w:t>
      </w:r>
      <w:r w:rsidR="001E1215" w:rsidRPr="00541E47">
        <w:rPr>
          <w:color w:val="000000" w:themeColor="text1"/>
        </w:rPr>
        <w:t xml:space="preserve">senegaleses </w:t>
      </w:r>
      <w:r w:rsidRPr="00541E47">
        <w:rPr>
          <w:color w:val="000000" w:themeColor="text1"/>
        </w:rPr>
        <w:t xml:space="preserve">economic growth </w:t>
      </w:r>
      <w:r w:rsidR="001E1215" w:rsidRPr="00541E47">
        <w:rPr>
          <w:color w:val="000000" w:themeColor="text1"/>
        </w:rPr>
        <w:t xml:space="preserve">and poverty patern </w:t>
      </w:r>
      <w:r w:rsidRPr="00541E47">
        <w:rPr>
          <w:color w:val="000000" w:themeColor="text1"/>
        </w:rPr>
        <w:t xml:space="preserve">over the next decade. The model is linked to a survey-based microsimulation module that estimates impacts on income poverty. </w:t>
      </w:r>
    </w:p>
    <w:p w:rsidR="005B2A0E" w:rsidRPr="00541E47" w:rsidRDefault="005B2A0E" w:rsidP="000115EF">
      <w:pPr>
        <w:autoSpaceDE w:val="0"/>
        <w:autoSpaceDN w:val="0"/>
        <w:adjustRightInd w:val="0"/>
        <w:jc w:val="both"/>
        <w:rPr>
          <w:color w:val="000000" w:themeColor="text1"/>
        </w:rPr>
      </w:pPr>
      <w:r w:rsidRPr="00541E47">
        <w:rPr>
          <w:color w:val="000000" w:themeColor="text1"/>
        </w:rPr>
        <w:t xml:space="preserve">The section 2 provides a background </w:t>
      </w:r>
      <w:r w:rsidR="00FE0190" w:rsidRPr="00541E47">
        <w:rPr>
          <w:color w:val="000000" w:themeColor="text1"/>
        </w:rPr>
        <w:t>on</w:t>
      </w:r>
      <w:r w:rsidRPr="00541E47">
        <w:rPr>
          <w:color w:val="000000" w:themeColor="text1"/>
        </w:rPr>
        <w:t xml:space="preserve"> the Senegalese’s economy and the challenges of biofuels world’s production </w:t>
      </w:r>
      <w:r w:rsidR="00FE0190" w:rsidRPr="00541E47">
        <w:rPr>
          <w:color w:val="000000" w:themeColor="text1"/>
        </w:rPr>
        <w:t>for</w:t>
      </w:r>
      <w:r w:rsidRPr="00541E47">
        <w:rPr>
          <w:color w:val="000000" w:themeColor="text1"/>
        </w:rPr>
        <w:t xml:space="preserve"> the economy. Section 3 discusses the methodology developed for assessing the impact pathway of biofuel development from world markets to the household level. The section 4 presents the results of our modeling efforts. The final section concludes on the main study’s findings.</w:t>
      </w:r>
    </w:p>
    <w:p w:rsidR="001574A2" w:rsidRPr="00541E47" w:rsidRDefault="001574A2" w:rsidP="000115EF">
      <w:pPr>
        <w:autoSpaceDE w:val="0"/>
        <w:autoSpaceDN w:val="0"/>
        <w:adjustRightInd w:val="0"/>
        <w:jc w:val="both"/>
        <w:rPr>
          <w:color w:val="000000" w:themeColor="text1"/>
        </w:rPr>
      </w:pPr>
    </w:p>
    <w:p w:rsidR="000115EF" w:rsidRPr="00541E47" w:rsidRDefault="008D0138" w:rsidP="000115EF">
      <w:pPr>
        <w:jc w:val="both"/>
        <w:textAlignment w:val="top"/>
        <w:rPr>
          <w:color w:val="000000" w:themeColor="text1"/>
        </w:rPr>
      </w:pPr>
      <w:r w:rsidRPr="00541E47">
        <w:rPr>
          <w:b/>
          <w:bCs/>
          <w:color w:val="000000" w:themeColor="text1"/>
        </w:rPr>
        <w:t>2</w:t>
      </w:r>
      <w:r w:rsidR="000115EF" w:rsidRPr="00541E47">
        <w:rPr>
          <w:b/>
          <w:bCs/>
          <w:color w:val="000000" w:themeColor="text1"/>
        </w:rPr>
        <w:t>. Modeling impact on growth and poverty of biofu</w:t>
      </w:r>
      <w:r w:rsidR="00CE0F60" w:rsidRPr="00541E47">
        <w:rPr>
          <w:b/>
          <w:bCs/>
          <w:color w:val="000000" w:themeColor="text1"/>
        </w:rPr>
        <w:t>el</w:t>
      </w:r>
      <w:r w:rsidR="000115EF" w:rsidRPr="00541E47">
        <w:rPr>
          <w:b/>
          <w:bCs/>
          <w:color w:val="000000" w:themeColor="text1"/>
        </w:rPr>
        <w:t xml:space="preserve"> production</w:t>
      </w:r>
    </w:p>
    <w:p w:rsidR="008B20E0" w:rsidRPr="00541E47" w:rsidRDefault="008B20E0" w:rsidP="000115EF">
      <w:pPr>
        <w:jc w:val="both"/>
        <w:rPr>
          <w:color w:val="000000" w:themeColor="text1"/>
          <w:lang w:eastAsia="en-US"/>
        </w:rPr>
      </w:pPr>
    </w:p>
    <w:p w:rsidR="008B20E0" w:rsidRPr="00541E47" w:rsidRDefault="008D0138" w:rsidP="000115EF">
      <w:pPr>
        <w:autoSpaceDE w:val="0"/>
        <w:autoSpaceDN w:val="0"/>
        <w:adjustRightInd w:val="0"/>
        <w:jc w:val="both"/>
        <w:rPr>
          <w:b/>
          <w:color w:val="000000" w:themeColor="text1"/>
        </w:rPr>
      </w:pPr>
      <w:r w:rsidRPr="00541E47">
        <w:rPr>
          <w:b/>
          <w:bCs/>
          <w:color w:val="000000" w:themeColor="text1"/>
          <w:lang w:val="en-US" w:eastAsia="en-US"/>
        </w:rPr>
        <w:t>2</w:t>
      </w:r>
      <w:r w:rsidR="00D4272C" w:rsidRPr="00541E47">
        <w:rPr>
          <w:b/>
          <w:bCs/>
          <w:color w:val="000000" w:themeColor="text1"/>
          <w:lang w:val="en-US" w:eastAsia="en-US"/>
        </w:rPr>
        <w:t xml:space="preserve">.1. </w:t>
      </w:r>
      <w:r w:rsidR="008B20E0" w:rsidRPr="00541E47">
        <w:rPr>
          <w:b/>
          <w:bCs/>
          <w:color w:val="000000" w:themeColor="text1"/>
          <w:lang w:val="en-US" w:eastAsia="en-US"/>
        </w:rPr>
        <w:t xml:space="preserve">Background on </w:t>
      </w:r>
      <w:r w:rsidR="001E1215" w:rsidRPr="00541E47">
        <w:rPr>
          <w:b/>
          <w:bCs/>
          <w:color w:val="000000" w:themeColor="text1"/>
          <w:lang w:val="en-US" w:eastAsia="en-US"/>
        </w:rPr>
        <w:t>the i</w:t>
      </w:r>
      <w:r w:rsidR="008B20E0" w:rsidRPr="00541E47">
        <w:rPr>
          <w:b/>
          <w:color w:val="000000" w:themeColor="text1"/>
        </w:rPr>
        <w:t xml:space="preserve">ntegrating </w:t>
      </w:r>
      <w:r w:rsidR="001E1215" w:rsidRPr="00541E47">
        <w:rPr>
          <w:b/>
          <w:color w:val="000000" w:themeColor="text1"/>
        </w:rPr>
        <w:t>of b</w:t>
      </w:r>
      <w:r w:rsidR="008B20E0" w:rsidRPr="00541E47">
        <w:rPr>
          <w:b/>
          <w:color w:val="000000" w:themeColor="text1"/>
        </w:rPr>
        <w:t xml:space="preserve">ioenergy into </w:t>
      </w:r>
      <w:r w:rsidR="001E1215" w:rsidRPr="00541E47">
        <w:rPr>
          <w:b/>
          <w:color w:val="000000" w:themeColor="text1"/>
        </w:rPr>
        <w:t>the computable general e</w:t>
      </w:r>
      <w:r w:rsidR="008B20E0" w:rsidRPr="00541E47">
        <w:rPr>
          <w:b/>
          <w:color w:val="000000" w:themeColor="text1"/>
        </w:rPr>
        <w:t xml:space="preserve">quilibrium </w:t>
      </w:r>
      <w:r w:rsidR="001E1215" w:rsidRPr="00541E47">
        <w:rPr>
          <w:b/>
          <w:color w:val="000000" w:themeColor="text1"/>
        </w:rPr>
        <w:t>m</w:t>
      </w:r>
      <w:r w:rsidR="008B20E0" w:rsidRPr="00541E47">
        <w:rPr>
          <w:b/>
          <w:color w:val="000000" w:themeColor="text1"/>
        </w:rPr>
        <w:t>odels</w:t>
      </w:r>
    </w:p>
    <w:p w:rsidR="008B20E0" w:rsidRPr="00541E47" w:rsidRDefault="00612CB1" w:rsidP="00612CB1">
      <w:pPr>
        <w:jc w:val="both"/>
        <w:textAlignment w:val="top"/>
        <w:rPr>
          <w:color w:val="000000" w:themeColor="text1"/>
        </w:rPr>
      </w:pPr>
      <w:r w:rsidRPr="00541E47">
        <w:rPr>
          <w:color w:val="000000" w:themeColor="text1"/>
        </w:rPr>
        <w:t>B</w:t>
      </w:r>
      <w:r w:rsidR="008B20E0" w:rsidRPr="00541E47">
        <w:rPr>
          <w:color w:val="000000" w:themeColor="text1"/>
        </w:rPr>
        <w:t xml:space="preserve">ioenergy cannot be evaluated independently of the rest of the economy </w:t>
      </w:r>
      <w:r w:rsidR="00305578" w:rsidRPr="00541E47">
        <w:rPr>
          <w:color w:val="000000" w:themeColor="text1"/>
        </w:rPr>
        <w:t>as</w:t>
      </w:r>
      <w:r w:rsidR="00397C57" w:rsidRPr="00541E47">
        <w:rPr>
          <w:color w:val="000000" w:themeColor="text1"/>
        </w:rPr>
        <w:t xml:space="preserve"> </w:t>
      </w:r>
      <w:r w:rsidR="008B20E0" w:rsidRPr="00541E47">
        <w:rPr>
          <w:color w:val="000000" w:themeColor="text1"/>
        </w:rPr>
        <w:t>th</w:t>
      </w:r>
      <w:r w:rsidR="00397C57" w:rsidRPr="00541E47">
        <w:rPr>
          <w:color w:val="000000" w:themeColor="text1"/>
        </w:rPr>
        <w:t>e</w:t>
      </w:r>
      <w:r w:rsidR="008B20E0" w:rsidRPr="00541E47">
        <w:rPr>
          <w:color w:val="000000" w:themeColor="text1"/>
        </w:rPr>
        <w:t xml:space="preserve"> </w:t>
      </w:r>
      <w:r w:rsidR="00305578" w:rsidRPr="00541E47">
        <w:rPr>
          <w:color w:val="000000" w:themeColor="text1"/>
        </w:rPr>
        <w:t xml:space="preserve">internal external </w:t>
      </w:r>
      <w:r w:rsidR="008B20E0" w:rsidRPr="00541E47">
        <w:rPr>
          <w:color w:val="000000" w:themeColor="text1"/>
        </w:rPr>
        <w:t xml:space="preserve">feedback effects are important. Computable general equilibrium (CGE) models are thus well suited for the study of bioenergy/biofuel </w:t>
      </w:r>
      <w:r w:rsidR="00305578" w:rsidRPr="00541E47">
        <w:rPr>
          <w:color w:val="000000" w:themeColor="text1"/>
        </w:rPr>
        <w:t>shocks or policies</w:t>
      </w:r>
      <w:r w:rsidR="008B20E0" w:rsidRPr="00541E47">
        <w:rPr>
          <w:color w:val="000000" w:themeColor="text1"/>
        </w:rPr>
        <w:t>. They have been widely employed to issues of international climate policies (</w:t>
      </w:r>
      <w:r w:rsidR="00447955" w:rsidRPr="00541E47">
        <w:rPr>
          <w:color w:val="000000" w:themeColor="text1"/>
        </w:rPr>
        <w:t>Cohen et al. 2008; Coyle 2007</w:t>
      </w:r>
      <w:r w:rsidR="008B20E0" w:rsidRPr="00541E47">
        <w:rPr>
          <w:color w:val="000000" w:themeColor="text1"/>
        </w:rPr>
        <w:t>) and biofuel impacts (</w:t>
      </w:r>
      <w:r w:rsidR="00564906" w:rsidRPr="00541E47">
        <w:rPr>
          <w:color w:val="000000" w:themeColor="text1"/>
        </w:rPr>
        <w:t>fo</w:t>
      </w:r>
      <w:r w:rsidR="00C962DC" w:rsidRPr="00541E47">
        <w:rPr>
          <w:color w:val="000000" w:themeColor="text1"/>
        </w:rPr>
        <w:t>r</w:t>
      </w:r>
      <w:r w:rsidR="00564906" w:rsidRPr="00541E47">
        <w:rPr>
          <w:color w:val="000000" w:themeColor="text1"/>
        </w:rPr>
        <w:t xml:space="preserve"> example</w:t>
      </w:r>
      <w:r w:rsidR="008B20E0" w:rsidRPr="00541E47">
        <w:rPr>
          <w:color w:val="000000" w:themeColor="text1"/>
        </w:rPr>
        <w:t xml:space="preserve">. </w:t>
      </w:r>
      <w:r w:rsidR="008B20E0" w:rsidRPr="00541E47">
        <w:rPr>
          <w:bCs/>
          <w:color w:val="000000" w:themeColor="text1"/>
        </w:rPr>
        <w:t xml:space="preserve">Channing Arndt and al, 2008, </w:t>
      </w:r>
      <w:r w:rsidR="00C962DC" w:rsidRPr="00541E47">
        <w:rPr>
          <w:color w:val="000000" w:themeColor="text1"/>
        </w:rPr>
        <w:t xml:space="preserve">Rosegrant </w:t>
      </w:r>
      <w:r w:rsidR="00C962DC" w:rsidRPr="00541E47">
        <w:rPr>
          <w:i/>
          <w:color w:val="000000" w:themeColor="text1"/>
        </w:rPr>
        <w:t>et al.</w:t>
      </w:r>
      <w:r w:rsidR="00C962DC" w:rsidRPr="00541E47">
        <w:rPr>
          <w:color w:val="000000" w:themeColor="text1"/>
        </w:rPr>
        <w:t xml:space="preserve"> 2008,</w:t>
      </w:r>
      <w:r w:rsidR="00C962DC" w:rsidRPr="00541E47">
        <w:rPr>
          <w:bCs/>
          <w:color w:val="000000" w:themeColor="text1"/>
          <w:lang w:val="en-US" w:eastAsia="en-US"/>
        </w:rPr>
        <w:t xml:space="preserve"> Channing, Pauw</w:t>
      </w:r>
      <w:r w:rsidR="00C962DC" w:rsidRPr="00541E47">
        <w:rPr>
          <w:bCs/>
          <w:color w:val="000000" w:themeColor="text1"/>
        </w:rPr>
        <w:t xml:space="preserve"> and</w:t>
      </w:r>
      <w:r w:rsidR="00C962DC" w:rsidRPr="00541E47">
        <w:rPr>
          <w:bCs/>
          <w:color w:val="000000" w:themeColor="text1"/>
          <w:lang w:val="en-US" w:eastAsia="en-US"/>
        </w:rPr>
        <w:t xml:space="preserve"> Thurlow, 2010, </w:t>
      </w:r>
      <w:r w:rsidR="008B20E0" w:rsidRPr="00541E47">
        <w:rPr>
          <w:bCs/>
          <w:color w:val="000000" w:themeColor="text1"/>
        </w:rPr>
        <w:t xml:space="preserve">Ujjayant Chakravorty and </w:t>
      </w:r>
      <w:r w:rsidR="008B20E0" w:rsidRPr="00541E47">
        <w:rPr>
          <w:bCs/>
          <w:i/>
          <w:color w:val="000000" w:themeColor="text1"/>
        </w:rPr>
        <w:t>al</w:t>
      </w:r>
      <w:r w:rsidR="008B20E0" w:rsidRPr="00541E47">
        <w:rPr>
          <w:bCs/>
          <w:color w:val="000000" w:themeColor="text1"/>
        </w:rPr>
        <w:t>., 2011</w:t>
      </w:r>
      <w:r w:rsidR="008B20E0" w:rsidRPr="00541E47">
        <w:rPr>
          <w:color w:val="000000" w:themeColor="text1"/>
        </w:rPr>
        <w:t xml:space="preserve">). Bettina Kretschmer and Sonja Peterson (2008) </w:t>
      </w:r>
      <w:r w:rsidR="00C962DC" w:rsidRPr="00541E47">
        <w:rPr>
          <w:color w:val="000000" w:themeColor="text1"/>
        </w:rPr>
        <w:t xml:space="preserve">provide an </w:t>
      </w:r>
      <w:r w:rsidR="008B20E0" w:rsidRPr="00541E47">
        <w:rPr>
          <w:color w:val="000000" w:themeColor="text1"/>
        </w:rPr>
        <w:t xml:space="preserve">excellent survey of literature on the </w:t>
      </w:r>
      <w:r w:rsidR="00C962DC" w:rsidRPr="00541E47">
        <w:rPr>
          <w:color w:val="000000" w:themeColor="text1"/>
        </w:rPr>
        <w:t>different approach</w:t>
      </w:r>
      <w:r w:rsidR="008B20E0" w:rsidRPr="00541E47">
        <w:rPr>
          <w:color w:val="000000" w:themeColor="text1"/>
        </w:rPr>
        <w:t xml:space="preserve">s used to integrate bioenergy into Computable General Equilibrium Models. Grouping the different methods into three approachs: the </w:t>
      </w:r>
      <w:r w:rsidR="001511F8" w:rsidRPr="00541E47">
        <w:rPr>
          <w:color w:val="000000" w:themeColor="text1"/>
        </w:rPr>
        <w:t>“I</w:t>
      </w:r>
      <w:r w:rsidR="008B20E0" w:rsidRPr="00541E47">
        <w:rPr>
          <w:color w:val="000000" w:themeColor="text1"/>
        </w:rPr>
        <w:t>mplicit approach”, the Latent technologies approach and the desegre</w:t>
      </w:r>
      <w:r w:rsidR="00C962DC" w:rsidRPr="00541E47">
        <w:rPr>
          <w:color w:val="000000" w:themeColor="text1"/>
        </w:rPr>
        <w:t>gation SAM approach, the author</w:t>
      </w:r>
      <w:r w:rsidR="00AD7765" w:rsidRPr="00541E47">
        <w:rPr>
          <w:color w:val="000000" w:themeColor="text1"/>
        </w:rPr>
        <w:t>s</w:t>
      </w:r>
      <w:r w:rsidR="008B20E0" w:rsidRPr="00541E47">
        <w:rPr>
          <w:color w:val="000000" w:themeColor="text1"/>
        </w:rPr>
        <w:t xml:space="preserve"> critically assess their respective power.</w:t>
      </w:r>
    </w:p>
    <w:p w:rsidR="001F26C0" w:rsidRPr="00541E47" w:rsidRDefault="008B20E0" w:rsidP="001F26C0">
      <w:pPr>
        <w:autoSpaceDE w:val="0"/>
        <w:autoSpaceDN w:val="0"/>
        <w:adjustRightInd w:val="0"/>
        <w:jc w:val="both"/>
        <w:rPr>
          <w:color w:val="000000" w:themeColor="text1"/>
        </w:rPr>
      </w:pPr>
      <w:r w:rsidRPr="00541E47">
        <w:rPr>
          <w:color w:val="000000" w:themeColor="text1"/>
        </w:rPr>
        <w:t>The “implicit approach”</w:t>
      </w:r>
      <w:r w:rsidR="00CB0EEC" w:rsidRPr="00541E47">
        <w:rPr>
          <w:color w:val="000000" w:themeColor="text1"/>
        </w:rPr>
        <w:t xml:space="preserve"> (Dixon, Osborne and Rimmer, 2007, Banse et al., 2008)  </w:t>
      </w:r>
      <w:r w:rsidRPr="00541E47">
        <w:rPr>
          <w:color w:val="000000" w:themeColor="text1"/>
        </w:rPr>
        <w:t>is a rather ad-hoc approach that avoids an explicit modelling of bioenergy production technologies but instead prescribes the amount of biomass necessary for achieving a certain production level (that would for instance comply with a biofuel policy target).</w:t>
      </w:r>
      <w:r w:rsidR="00397C57" w:rsidRPr="00541E47">
        <w:rPr>
          <w:color w:val="000000" w:themeColor="text1"/>
        </w:rPr>
        <w:t xml:space="preserve"> </w:t>
      </w:r>
      <w:r w:rsidR="0067554A" w:rsidRPr="00541E47">
        <w:rPr>
          <w:color w:val="000000" w:themeColor="text1"/>
        </w:rPr>
        <w:t xml:space="preserve">The Latente technologies approach </w:t>
      </w:r>
      <w:r w:rsidRPr="00541E47">
        <w:rPr>
          <w:color w:val="000000" w:themeColor="text1"/>
        </w:rPr>
        <w:t xml:space="preserve">includes biofuel production </w:t>
      </w:r>
      <w:r w:rsidR="00594ECB" w:rsidRPr="00541E47">
        <w:rPr>
          <w:color w:val="000000" w:themeColor="text1"/>
        </w:rPr>
        <w:t xml:space="preserve">in the model </w:t>
      </w:r>
      <w:r w:rsidR="0067554A" w:rsidRPr="00541E47">
        <w:rPr>
          <w:color w:val="000000" w:themeColor="text1"/>
        </w:rPr>
        <w:t xml:space="preserve">using </w:t>
      </w:r>
      <w:r w:rsidRPr="00541E47">
        <w:rPr>
          <w:color w:val="000000" w:themeColor="text1"/>
        </w:rPr>
        <w:t>production technologies that are not active in the base year of the model</w:t>
      </w:r>
      <w:r w:rsidR="00397C57" w:rsidRPr="00541E47">
        <w:rPr>
          <w:color w:val="000000" w:themeColor="text1"/>
        </w:rPr>
        <w:t xml:space="preserve"> but </w:t>
      </w:r>
      <w:r w:rsidR="00305578" w:rsidRPr="00541E47">
        <w:rPr>
          <w:color w:val="000000" w:themeColor="text1"/>
        </w:rPr>
        <w:t xml:space="preserve">that </w:t>
      </w:r>
      <w:r w:rsidRPr="00541E47">
        <w:rPr>
          <w:color w:val="000000" w:themeColor="text1"/>
        </w:rPr>
        <w:t xml:space="preserve">can become active at a later stage or in counterfactual scenarios. </w:t>
      </w:r>
      <w:r w:rsidR="00397C57" w:rsidRPr="00541E47">
        <w:rPr>
          <w:color w:val="000000" w:themeColor="text1"/>
        </w:rPr>
        <w:t>D</w:t>
      </w:r>
      <w:r w:rsidRPr="00541E47">
        <w:rPr>
          <w:color w:val="000000" w:themeColor="text1"/>
        </w:rPr>
        <w:t>ifferent</w:t>
      </w:r>
      <w:r w:rsidR="00397C57" w:rsidRPr="00541E47">
        <w:rPr>
          <w:color w:val="000000" w:themeColor="text1"/>
        </w:rPr>
        <w:t xml:space="preserve"> latent technologies approachs is used </w:t>
      </w:r>
      <w:r w:rsidRPr="00541E47">
        <w:rPr>
          <w:color w:val="000000" w:themeColor="text1"/>
        </w:rPr>
        <w:t xml:space="preserve">to model bioenergy in CGE models: </w:t>
      </w:r>
      <w:r w:rsidR="0057352F" w:rsidRPr="00541E47">
        <w:rPr>
          <w:color w:val="000000" w:themeColor="text1"/>
        </w:rPr>
        <w:t xml:space="preserve">some </w:t>
      </w:r>
      <w:r w:rsidRPr="00541E47">
        <w:rPr>
          <w:color w:val="000000" w:themeColor="text1"/>
        </w:rPr>
        <w:t>dealing with the first-generation</w:t>
      </w:r>
      <w:r w:rsidR="00397C57" w:rsidRPr="00541E47">
        <w:rPr>
          <w:color w:val="000000" w:themeColor="text1"/>
        </w:rPr>
        <w:t xml:space="preserve"> of biofuel</w:t>
      </w:r>
      <w:r w:rsidRPr="00541E47">
        <w:rPr>
          <w:color w:val="000000" w:themeColor="text1"/>
        </w:rPr>
        <w:t xml:space="preserve"> (Boeters et al., 2008, Kretschmer et al., 2008), those dealing with second-generation biofuels (Reilly and Paltsev, 2007) and those incorporating biofuel trade (Gurgel et al., 2007). The third </w:t>
      </w:r>
      <w:r w:rsidR="00305578" w:rsidRPr="00541E47">
        <w:rPr>
          <w:color w:val="000000" w:themeColor="text1"/>
        </w:rPr>
        <w:t>generation of biofuel CGE m</w:t>
      </w:r>
      <w:r w:rsidR="0057352F" w:rsidRPr="00541E47">
        <w:rPr>
          <w:color w:val="000000" w:themeColor="text1"/>
        </w:rPr>
        <w:t xml:space="preserve">odels </w:t>
      </w:r>
      <w:r w:rsidR="00594ECB" w:rsidRPr="00541E47">
        <w:rPr>
          <w:color w:val="000000" w:themeColor="text1"/>
        </w:rPr>
        <w:t>wi</w:t>
      </w:r>
      <w:r w:rsidR="00305578" w:rsidRPr="00541E47">
        <w:rPr>
          <w:color w:val="000000" w:themeColor="text1"/>
        </w:rPr>
        <w:t xml:space="preserve">ch </w:t>
      </w:r>
      <w:r w:rsidR="00594ECB" w:rsidRPr="00541E47">
        <w:rPr>
          <w:color w:val="000000" w:themeColor="text1"/>
        </w:rPr>
        <w:t>is well promised</w:t>
      </w:r>
      <w:r w:rsidRPr="00541E47">
        <w:rPr>
          <w:color w:val="000000" w:themeColor="text1"/>
        </w:rPr>
        <w:t xml:space="preserve"> intends to disaggregate bioenergy production sectors directly from a </w:t>
      </w:r>
      <w:r w:rsidR="00594ECB" w:rsidRPr="00541E47">
        <w:rPr>
          <w:color w:val="000000" w:themeColor="text1"/>
        </w:rPr>
        <w:t xml:space="preserve">social accounting matrix (SAM) </w:t>
      </w:r>
      <w:r w:rsidRPr="00541E47">
        <w:rPr>
          <w:color w:val="000000" w:themeColor="text1"/>
        </w:rPr>
        <w:t>underlying data structure of CGE models</w:t>
      </w:r>
      <w:r w:rsidR="001F26C0" w:rsidRPr="00541E47">
        <w:rPr>
          <w:color w:val="000000" w:themeColor="text1"/>
        </w:rPr>
        <w:t xml:space="preserve"> (</w:t>
      </w:r>
      <w:r w:rsidRPr="00541E47">
        <w:rPr>
          <w:color w:val="000000" w:themeColor="text1"/>
        </w:rPr>
        <w:t>.</w:t>
      </w:r>
      <w:r w:rsidR="001F26C0" w:rsidRPr="00541E47">
        <w:rPr>
          <w:color w:val="000000" w:themeColor="text1"/>
        </w:rPr>
        <w:t xml:space="preserve">Taheripour et al., 2007 and Hertel, Tyner and Birur, 2008 with the GTAP model ; </w:t>
      </w:r>
      <w:r w:rsidR="001F26C0" w:rsidRPr="00541E47">
        <w:rPr>
          <w:bCs/>
          <w:color w:val="000000" w:themeColor="text1"/>
        </w:rPr>
        <w:t xml:space="preserve">Channing Arndt and al, 2008 and </w:t>
      </w:r>
      <w:r w:rsidR="001F26C0" w:rsidRPr="00541E47">
        <w:rPr>
          <w:bCs/>
          <w:color w:val="000000" w:themeColor="text1"/>
          <w:lang w:val="en-US" w:eastAsia="en-US"/>
        </w:rPr>
        <w:t>Channing, Pauw</w:t>
      </w:r>
      <w:r w:rsidR="001F26C0" w:rsidRPr="00541E47">
        <w:rPr>
          <w:bCs/>
          <w:color w:val="000000" w:themeColor="text1"/>
        </w:rPr>
        <w:t xml:space="preserve"> and</w:t>
      </w:r>
      <w:r w:rsidR="001F26C0" w:rsidRPr="00541E47">
        <w:rPr>
          <w:bCs/>
          <w:color w:val="000000" w:themeColor="text1"/>
          <w:lang w:val="en-US" w:eastAsia="en-US"/>
        </w:rPr>
        <w:t xml:space="preserve"> Thurlow, 2010</w:t>
      </w:r>
      <w:r w:rsidR="00397C57" w:rsidRPr="00541E47">
        <w:rPr>
          <w:bCs/>
          <w:color w:val="000000" w:themeColor="text1"/>
        </w:rPr>
        <w:t xml:space="preserve"> with the </w:t>
      </w:r>
      <w:r w:rsidR="00397C57" w:rsidRPr="00541E47">
        <w:rPr>
          <w:bCs/>
          <w:color w:val="000000" w:themeColor="text1"/>
        </w:rPr>
        <w:lastRenderedPageBreak/>
        <w:t>IFPRI model</w:t>
      </w:r>
      <w:r w:rsidR="001F26C0" w:rsidRPr="00541E47">
        <w:rPr>
          <w:bCs/>
          <w:color w:val="000000" w:themeColor="text1"/>
        </w:rPr>
        <w:t>)</w:t>
      </w:r>
      <w:r w:rsidR="0067554A" w:rsidRPr="00541E47">
        <w:rPr>
          <w:bCs/>
          <w:color w:val="000000" w:themeColor="text1"/>
        </w:rPr>
        <w:t xml:space="preserve">. </w:t>
      </w:r>
      <w:r w:rsidR="00594ECB" w:rsidRPr="00541E47">
        <w:rPr>
          <w:bCs/>
          <w:color w:val="000000" w:themeColor="text1"/>
        </w:rPr>
        <w:t>With this a</w:t>
      </w:r>
      <w:r w:rsidR="0057352F" w:rsidRPr="00541E47">
        <w:rPr>
          <w:bCs/>
          <w:color w:val="000000" w:themeColor="text1"/>
        </w:rPr>
        <w:t>pproach</w:t>
      </w:r>
      <w:r w:rsidR="00594ECB" w:rsidRPr="00541E47">
        <w:rPr>
          <w:bCs/>
          <w:color w:val="000000" w:themeColor="text1"/>
        </w:rPr>
        <w:t xml:space="preserve"> a substitution between biofuels and other energy products can be done with the CGE model. </w:t>
      </w:r>
      <w:r w:rsidR="00305578" w:rsidRPr="00541E47">
        <w:rPr>
          <w:bCs/>
          <w:color w:val="000000" w:themeColor="text1"/>
        </w:rPr>
        <w:t xml:space="preserve">The Senegalese model relies on this later approach. </w:t>
      </w:r>
    </w:p>
    <w:p w:rsidR="00432597" w:rsidRPr="00541E47" w:rsidRDefault="00432597" w:rsidP="000115EF">
      <w:pPr>
        <w:autoSpaceDE w:val="0"/>
        <w:autoSpaceDN w:val="0"/>
        <w:adjustRightInd w:val="0"/>
        <w:jc w:val="both"/>
        <w:rPr>
          <w:color w:val="000000" w:themeColor="text1"/>
        </w:rPr>
      </w:pPr>
    </w:p>
    <w:p w:rsidR="00D4272C" w:rsidRPr="00541E47" w:rsidRDefault="008D0138" w:rsidP="000115EF">
      <w:pPr>
        <w:jc w:val="both"/>
        <w:rPr>
          <w:b/>
          <w:color w:val="000000" w:themeColor="text1"/>
          <w:lang w:eastAsia="en-US"/>
        </w:rPr>
      </w:pPr>
      <w:r w:rsidRPr="00541E47">
        <w:rPr>
          <w:b/>
          <w:color w:val="000000" w:themeColor="text1"/>
          <w:lang w:eastAsia="en-US"/>
        </w:rPr>
        <w:t>2</w:t>
      </w:r>
      <w:r w:rsidR="00D4272C" w:rsidRPr="00541E47">
        <w:rPr>
          <w:b/>
          <w:color w:val="000000" w:themeColor="text1"/>
          <w:lang w:eastAsia="en-US"/>
        </w:rPr>
        <w:t>.</w:t>
      </w:r>
      <w:r w:rsidR="00397C57" w:rsidRPr="00541E47">
        <w:rPr>
          <w:b/>
          <w:color w:val="000000" w:themeColor="text1"/>
          <w:lang w:eastAsia="en-US"/>
        </w:rPr>
        <w:t>2</w:t>
      </w:r>
      <w:r w:rsidR="00D4272C" w:rsidRPr="00541E47">
        <w:rPr>
          <w:b/>
          <w:color w:val="000000" w:themeColor="text1"/>
          <w:lang w:eastAsia="en-US"/>
        </w:rPr>
        <w:t xml:space="preserve">. The </w:t>
      </w:r>
      <w:r w:rsidR="00253101" w:rsidRPr="00541E47">
        <w:rPr>
          <w:b/>
          <w:color w:val="000000" w:themeColor="text1"/>
          <w:lang w:eastAsia="en-US"/>
        </w:rPr>
        <w:t xml:space="preserve">core of the CGE </w:t>
      </w:r>
      <w:r w:rsidR="00D4272C" w:rsidRPr="00541E47">
        <w:rPr>
          <w:b/>
          <w:color w:val="000000" w:themeColor="text1"/>
          <w:lang w:eastAsia="en-US"/>
        </w:rPr>
        <w:t>model</w:t>
      </w:r>
    </w:p>
    <w:p w:rsidR="000C3840" w:rsidRPr="00541E47" w:rsidRDefault="00106054" w:rsidP="000115EF">
      <w:pPr>
        <w:jc w:val="both"/>
        <w:rPr>
          <w:color w:val="000000" w:themeColor="text1"/>
          <w:lang w:val="en-US"/>
        </w:rPr>
      </w:pPr>
      <w:r w:rsidRPr="00541E47">
        <w:rPr>
          <w:color w:val="000000" w:themeColor="text1"/>
          <w:lang w:val="en-US"/>
        </w:rPr>
        <w:t>The dynamic S</w:t>
      </w:r>
      <w:r w:rsidR="00AD399D" w:rsidRPr="00541E47">
        <w:rPr>
          <w:color w:val="000000" w:themeColor="text1"/>
          <w:lang w:val="en-US"/>
        </w:rPr>
        <w:t xml:space="preserve">enegalese </w:t>
      </w:r>
      <w:r w:rsidRPr="00541E47">
        <w:rPr>
          <w:color w:val="000000" w:themeColor="text1"/>
          <w:lang w:val="en-US"/>
        </w:rPr>
        <w:t xml:space="preserve">model described below has </w:t>
      </w:r>
      <w:r w:rsidR="00AD399D" w:rsidRPr="00541E47">
        <w:rPr>
          <w:color w:val="000000" w:themeColor="text1"/>
          <w:lang w:val="en-US"/>
        </w:rPr>
        <w:t xml:space="preserve">been </w:t>
      </w:r>
      <w:r w:rsidRPr="00541E47">
        <w:rPr>
          <w:color w:val="000000" w:themeColor="text1"/>
          <w:lang w:val="en-US"/>
        </w:rPr>
        <w:t xml:space="preserve">developed </w:t>
      </w:r>
      <w:r w:rsidR="004F7542" w:rsidRPr="00541E47">
        <w:rPr>
          <w:color w:val="000000" w:themeColor="text1"/>
          <w:lang w:val="en-US"/>
        </w:rPr>
        <w:t>based on t</w:t>
      </w:r>
      <w:r w:rsidR="00AD399D" w:rsidRPr="00541E47">
        <w:rPr>
          <w:color w:val="000000" w:themeColor="text1"/>
          <w:lang w:val="en-US"/>
        </w:rPr>
        <w:t xml:space="preserve">he dynamic </w:t>
      </w:r>
      <w:r w:rsidR="001C008F" w:rsidRPr="00541E47">
        <w:rPr>
          <w:color w:val="000000" w:themeColor="text1"/>
          <w:lang w:val="en-US"/>
        </w:rPr>
        <w:t xml:space="preserve">Exter-DS </w:t>
      </w:r>
      <w:r w:rsidR="00AD399D" w:rsidRPr="00541E47">
        <w:rPr>
          <w:color w:val="000000" w:themeColor="text1"/>
          <w:lang w:val="en-US"/>
        </w:rPr>
        <w:t xml:space="preserve">model </w:t>
      </w:r>
      <w:r w:rsidR="002A1E00" w:rsidRPr="00541E47">
        <w:rPr>
          <w:color w:val="000000" w:themeColor="text1"/>
          <w:lang w:val="en-US"/>
        </w:rPr>
        <w:t xml:space="preserve">of </w:t>
      </w:r>
      <w:r w:rsidR="00AD399D" w:rsidRPr="00541E47">
        <w:rPr>
          <w:color w:val="000000" w:themeColor="text1"/>
          <w:lang w:val="en-US"/>
        </w:rPr>
        <w:t xml:space="preserve">Annabi, Cockburn </w:t>
      </w:r>
      <w:r w:rsidR="006505FE" w:rsidRPr="00541E47">
        <w:rPr>
          <w:color w:val="000000" w:themeColor="text1"/>
          <w:lang w:val="en-US"/>
        </w:rPr>
        <w:t>and</w:t>
      </w:r>
      <w:r w:rsidR="00AD399D" w:rsidRPr="00541E47">
        <w:rPr>
          <w:color w:val="000000" w:themeColor="text1"/>
          <w:lang w:val="en-US"/>
        </w:rPr>
        <w:t xml:space="preserve"> Decaluwé (2004)</w:t>
      </w:r>
      <w:r w:rsidRPr="00541E47">
        <w:rPr>
          <w:color w:val="000000" w:themeColor="text1"/>
          <w:lang w:val="en-US"/>
        </w:rPr>
        <w:t xml:space="preserve">. </w:t>
      </w:r>
      <w:r w:rsidR="001044D6" w:rsidRPr="00541E47">
        <w:rPr>
          <w:color w:val="000000" w:themeColor="text1"/>
          <w:lang w:val="en-US"/>
        </w:rPr>
        <w:t xml:space="preserve">A number of features have been added to </w:t>
      </w:r>
      <w:r w:rsidR="00DC4609" w:rsidRPr="00541E47">
        <w:rPr>
          <w:color w:val="000000" w:themeColor="text1"/>
          <w:lang w:val="en-US"/>
        </w:rPr>
        <w:t xml:space="preserve">the </w:t>
      </w:r>
      <w:r w:rsidR="001044D6" w:rsidRPr="00541E47">
        <w:rPr>
          <w:color w:val="000000" w:themeColor="text1"/>
          <w:lang w:val="en-US"/>
        </w:rPr>
        <w:t>Exter-DS mo</w:t>
      </w:r>
      <w:r w:rsidR="001A1C1B" w:rsidRPr="00541E47">
        <w:rPr>
          <w:color w:val="000000" w:themeColor="text1"/>
          <w:lang w:val="en-US"/>
        </w:rPr>
        <w:t>del</w:t>
      </w:r>
      <w:r w:rsidR="00D03DA2" w:rsidRPr="00541E47">
        <w:rPr>
          <w:color w:val="000000" w:themeColor="text1"/>
          <w:lang w:val="en-US"/>
        </w:rPr>
        <w:t xml:space="preserve"> for this study</w:t>
      </w:r>
      <w:r w:rsidR="001A1C1B" w:rsidRPr="00541E47">
        <w:rPr>
          <w:color w:val="000000" w:themeColor="text1"/>
          <w:lang w:val="en-US"/>
        </w:rPr>
        <w:t>: a government budget bloc</w:t>
      </w:r>
      <w:r w:rsidR="004F7542" w:rsidRPr="00541E47">
        <w:rPr>
          <w:color w:val="000000" w:themeColor="text1"/>
          <w:lang w:val="en-US"/>
        </w:rPr>
        <w:t>k</w:t>
      </w:r>
      <w:r w:rsidR="001A1C1B" w:rsidRPr="00541E47">
        <w:rPr>
          <w:color w:val="000000" w:themeColor="text1"/>
          <w:lang w:val="en-US"/>
        </w:rPr>
        <w:t xml:space="preserve">, </w:t>
      </w:r>
      <w:r w:rsidR="000A1F08" w:rsidRPr="00541E47">
        <w:rPr>
          <w:color w:val="000000" w:themeColor="text1"/>
          <w:lang w:val="en-US"/>
        </w:rPr>
        <w:t xml:space="preserve">the </w:t>
      </w:r>
      <w:r w:rsidR="002B5FA0" w:rsidRPr="00541E47">
        <w:rPr>
          <w:color w:val="000000" w:themeColor="text1"/>
          <w:lang w:val="en-US"/>
        </w:rPr>
        <w:t>endogenous</w:t>
      </w:r>
      <w:r w:rsidR="001044D6" w:rsidRPr="00541E47">
        <w:rPr>
          <w:color w:val="000000" w:themeColor="text1"/>
          <w:lang w:val="en-US"/>
        </w:rPr>
        <w:t xml:space="preserve"> </w:t>
      </w:r>
      <w:r w:rsidR="000A1F08" w:rsidRPr="00541E47">
        <w:rPr>
          <w:color w:val="000000" w:themeColor="text1"/>
          <w:lang w:val="en-US"/>
        </w:rPr>
        <w:t xml:space="preserve">growth of </w:t>
      </w:r>
      <w:r w:rsidR="001044D6" w:rsidRPr="00541E47">
        <w:rPr>
          <w:color w:val="000000" w:themeColor="text1"/>
          <w:lang w:val="en-US"/>
        </w:rPr>
        <w:t xml:space="preserve">total </w:t>
      </w:r>
      <w:r w:rsidR="001044D6" w:rsidRPr="00541E47">
        <w:rPr>
          <w:color w:val="000000" w:themeColor="text1"/>
        </w:rPr>
        <w:t xml:space="preserve">factor </w:t>
      </w:r>
      <w:r w:rsidR="001044D6" w:rsidRPr="00541E47">
        <w:rPr>
          <w:color w:val="000000" w:themeColor="text1"/>
          <w:lang w:val="en-US"/>
        </w:rPr>
        <w:t xml:space="preserve">productivity, </w:t>
      </w:r>
      <w:r w:rsidR="00DC4609" w:rsidRPr="00541E47">
        <w:rPr>
          <w:color w:val="000000" w:themeColor="text1"/>
          <w:lang w:val="en-US"/>
        </w:rPr>
        <w:t>the inclusion of</w:t>
      </w:r>
      <w:r w:rsidR="001044D6" w:rsidRPr="00541E47">
        <w:rPr>
          <w:color w:val="000000" w:themeColor="text1"/>
          <w:lang w:val="en-US"/>
        </w:rPr>
        <w:t xml:space="preserve"> public capital </w:t>
      </w:r>
      <w:r w:rsidR="004F7542" w:rsidRPr="00541E47">
        <w:rPr>
          <w:color w:val="000000" w:themeColor="text1"/>
          <w:lang w:val="en-US"/>
        </w:rPr>
        <w:t xml:space="preserve">and land </w:t>
      </w:r>
      <w:r w:rsidR="001044D6" w:rsidRPr="00541E47">
        <w:rPr>
          <w:color w:val="000000" w:themeColor="text1"/>
          <w:lang w:val="en-US"/>
        </w:rPr>
        <w:t>factor</w:t>
      </w:r>
      <w:r w:rsidR="004F7542" w:rsidRPr="00541E47">
        <w:rPr>
          <w:color w:val="000000" w:themeColor="text1"/>
          <w:lang w:val="en-US"/>
        </w:rPr>
        <w:t>s</w:t>
      </w:r>
      <w:r w:rsidR="001044D6" w:rsidRPr="00541E47">
        <w:rPr>
          <w:color w:val="000000" w:themeColor="text1"/>
          <w:lang w:val="en-US"/>
        </w:rPr>
        <w:t xml:space="preserve">, </w:t>
      </w:r>
      <w:r w:rsidR="000A1F08" w:rsidRPr="00541E47">
        <w:rPr>
          <w:color w:val="000000" w:themeColor="text1"/>
          <w:lang w:val="en-US"/>
        </w:rPr>
        <w:t xml:space="preserve">and </w:t>
      </w:r>
      <w:r w:rsidR="001044D6" w:rsidRPr="00541E47">
        <w:rPr>
          <w:color w:val="000000" w:themeColor="text1"/>
          <w:lang w:val="en-US"/>
        </w:rPr>
        <w:t xml:space="preserve">an export demand function. </w:t>
      </w:r>
      <w:r w:rsidR="001A026A" w:rsidRPr="00541E47">
        <w:rPr>
          <w:color w:val="000000" w:themeColor="text1"/>
          <w:lang w:val="en-US"/>
        </w:rPr>
        <w:t>These new</w:t>
      </w:r>
      <w:r w:rsidR="001044D6" w:rsidRPr="00541E47">
        <w:rPr>
          <w:color w:val="000000" w:themeColor="text1"/>
          <w:lang w:val="en-US"/>
        </w:rPr>
        <w:t xml:space="preserve"> characteristics required </w:t>
      </w:r>
      <w:r w:rsidR="00DC4609" w:rsidRPr="00541E47">
        <w:rPr>
          <w:color w:val="000000" w:themeColor="text1"/>
          <w:lang w:val="en-US"/>
        </w:rPr>
        <w:t xml:space="preserve">some adjustment to </w:t>
      </w:r>
      <w:r w:rsidR="001A026A" w:rsidRPr="00541E47">
        <w:rPr>
          <w:color w:val="000000" w:themeColor="text1"/>
          <w:lang w:val="en-US"/>
        </w:rPr>
        <w:t>the existing</w:t>
      </w:r>
      <w:r w:rsidR="001044D6" w:rsidRPr="00541E47">
        <w:rPr>
          <w:color w:val="000000" w:themeColor="text1"/>
          <w:lang w:val="en-US"/>
        </w:rPr>
        <w:t xml:space="preserve"> </w:t>
      </w:r>
      <w:r w:rsidR="001A026A" w:rsidRPr="00541E47">
        <w:rPr>
          <w:color w:val="000000" w:themeColor="text1"/>
          <w:lang w:val="en-US"/>
        </w:rPr>
        <w:t>equation and</w:t>
      </w:r>
      <w:r w:rsidR="001044D6" w:rsidRPr="00541E47">
        <w:rPr>
          <w:color w:val="000000" w:themeColor="text1"/>
          <w:lang w:val="en-US"/>
        </w:rPr>
        <w:t xml:space="preserve"> </w:t>
      </w:r>
      <w:r w:rsidR="00DD1389" w:rsidRPr="00541E47">
        <w:rPr>
          <w:color w:val="000000" w:themeColor="text1"/>
          <w:lang w:val="en-US"/>
        </w:rPr>
        <w:t>the addition of a new one</w:t>
      </w:r>
      <w:r w:rsidR="001044D6" w:rsidRPr="00541E47">
        <w:rPr>
          <w:color w:val="000000" w:themeColor="text1"/>
          <w:lang w:val="en-US"/>
        </w:rPr>
        <w:t xml:space="preserve">. </w:t>
      </w:r>
    </w:p>
    <w:p w:rsidR="00106054" w:rsidRPr="00541E47" w:rsidRDefault="00106054" w:rsidP="000115EF">
      <w:pPr>
        <w:jc w:val="both"/>
        <w:rPr>
          <w:color w:val="000000" w:themeColor="text1"/>
          <w:lang w:val="en-US"/>
        </w:rPr>
      </w:pPr>
      <w:r w:rsidRPr="00541E47">
        <w:rPr>
          <w:color w:val="000000" w:themeColor="text1"/>
          <w:lang w:val="en-US"/>
        </w:rPr>
        <w:t xml:space="preserve">The model is </w:t>
      </w:r>
      <w:r w:rsidR="001A026A" w:rsidRPr="00541E47">
        <w:rPr>
          <w:color w:val="000000" w:themeColor="text1"/>
          <w:lang w:val="en-US"/>
        </w:rPr>
        <w:t>designed as</w:t>
      </w:r>
      <w:r w:rsidRPr="00541E47">
        <w:rPr>
          <w:color w:val="000000" w:themeColor="text1"/>
          <w:lang w:val="en-US"/>
        </w:rPr>
        <w:t xml:space="preserve"> a set of simultaneous linear and non-linear equations, which define </w:t>
      </w:r>
      <w:r w:rsidR="00F01200" w:rsidRPr="00541E47">
        <w:rPr>
          <w:color w:val="000000" w:themeColor="text1"/>
        </w:rPr>
        <w:t>economic agents’</w:t>
      </w:r>
      <w:r w:rsidRPr="00541E47">
        <w:rPr>
          <w:color w:val="000000" w:themeColor="text1"/>
          <w:lang w:val="en-US"/>
        </w:rPr>
        <w:t xml:space="preserve"> </w:t>
      </w:r>
      <w:r w:rsidR="002B5FA0" w:rsidRPr="00541E47">
        <w:rPr>
          <w:color w:val="000000" w:themeColor="text1"/>
          <w:lang w:val="en-US"/>
        </w:rPr>
        <w:t>behavior</w:t>
      </w:r>
      <w:r w:rsidRPr="00541E47">
        <w:rPr>
          <w:color w:val="000000" w:themeColor="text1"/>
        </w:rPr>
        <w:t>,</w:t>
      </w:r>
      <w:r w:rsidRPr="00541E47">
        <w:rPr>
          <w:color w:val="000000" w:themeColor="text1"/>
          <w:lang w:val="en-US"/>
        </w:rPr>
        <w:t xml:space="preserve"> as well as the economic environment in which these agents operate. This environment is </w:t>
      </w:r>
      <w:r w:rsidR="00C057DE" w:rsidRPr="00541E47">
        <w:rPr>
          <w:color w:val="000000" w:themeColor="text1"/>
          <w:lang w:val="en-US"/>
        </w:rPr>
        <w:t xml:space="preserve">represented </w:t>
      </w:r>
      <w:r w:rsidRPr="00541E47">
        <w:rPr>
          <w:color w:val="000000" w:themeColor="text1"/>
          <w:lang w:val="en-US"/>
        </w:rPr>
        <w:t xml:space="preserve">by market equilibrium conditions, macroeconomic balances, </w:t>
      </w:r>
      <w:r w:rsidRPr="00541E47">
        <w:rPr>
          <w:color w:val="000000" w:themeColor="text1"/>
        </w:rPr>
        <w:t>and dynamic updating equations.</w:t>
      </w:r>
      <w:r w:rsidRPr="00541E47">
        <w:rPr>
          <w:color w:val="000000" w:themeColor="text1"/>
          <w:lang w:val="en-US"/>
        </w:rPr>
        <w:t xml:space="preserve">The model belongs to the recursive dynamic strand of the dynamic CGE literature, which implies that </w:t>
      </w:r>
      <w:r w:rsidR="00F01200" w:rsidRPr="00541E47">
        <w:rPr>
          <w:color w:val="000000" w:themeColor="text1"/>
          <w:lang w:val="en-US"/>
        </w:rPr>
        <w:t xml:space="preserve">its agents’ </w:t>
      </w:r>
      <w:r w:rsidR="002B5FA0" w:rsidRPr="00541E47">
        <w:rPr>
          <w:color w:val="000000" w:themeColor="text1"/>
          <w:lang w:val="en-US"/>
        </w:rPr>
        <w:t>behavior</w:t>
      </w:r>
      <w:r w:rsidR="00F01200" w:rsidRPr="00541E47">
        <w:rPr>
          <w:color w:val="000000" w:themeColor="text1"/>
          <w:lang w:val="en-US"/>
        </w:rPr>
        <w:t xml:space="preserve"> </w:t>
      </w:r>
      <w:r w:rsidRPr="00541E47">
        <w:rPr>
          <w:color w:val="000000" w:themeColor="text1"/>
          <w:lang w:val="en-US"/>
        </w:rPr>
        <w:t xml:space="preserve">is based on adaptive </w:t>
      </w:r>
      <w:r w:rsidR="00DD4071" w:rsidRPr="00541E47">
        <w:rPr>
          <w:color w:val="000000" w:themeColor="text1"/>
          <w:lang w:val="en-US"/>
        </w:rPr>
        <w:t>projections</w:t>
      </w:r>
      <w:r w:rsidRPr="00541E47">
        <w:rPr>
          <w:color w:val="000000" w:themeColor="text1"/>
          <w:lang w:val="en-US"/>
        </w:rPr>
        <w:t xml:space="preserve"> rather than on the forward-looking </w:t>
      </w:r>
      <w:r w:rsidR="00DD4071" w:rsidRPr="00541E47">
        <w:rPr>
          <w:color w:val="000000" w:themeColor="text1"/>
          <w:lang w:val="en-US"/>
        </w:rPr>
        <w:t xml:space="preserve">projections </w:t>
      </w:r>
      <w:r w:rsidRPr="00541E47">
        <w:rPr>
          <w:color w:val="000000" w:themeColor="text1"/>
          <w:lang w:val="en-US"/>
        </w:rPr>
        <w:t xml:space="preserve">that underlie alternative inter-temporal </w:t>
      </w:r>
      <w:r w:rsidR="002B5FA0" w:rsidRPr="00541E47">
        <w:rPr>
          <w:color w:val="000000" w:themeColor="text1"/>
          <w:lang w:val="en-US"/>
        </w:rPr>
        <w:t>optimization</w:t>
      </w:r>
      <w:r w:rsidRPr="00541E47">
        <w:rPr>
          <w:color w:val="000000" w:themeColor="text1"/>
          <w:lang w:val="en-US"/>
        </w:rPr>
        <w:t xml:space="preserve"> models. Since a recursive model </w:t>
      </w:r>
      <w:r w:rsidR="00244646" w:rsidRPr="00541E47">
        <w:rPr>
          <w:color w:val="000000" w:themeColor="text1"/>
          <w:lang w:val="en-US"/>
        </w:rPr>
        <w:t>simulates</w:t>
      </w:r>
      <w:r w:rsidR="0014614D" w:rsidRPr="00541E47">
        <w:rPr>
          <w:color w:val="000000" w:themeColor="text1"/>
          <w:lang w:val="en-US"/>
        </w:rPr>
        <w:t xml:space="preserve"> </w:t>
      </w:r>
      <w:r w:rsidRPr="00541E47">
        <w:rPr>
          <w:color w:val="000000" w:themeColor="text1"/>
          <w:lang w:val="en-US"/>
        </w:rPr>
        <w:t xml:space="preserve">one period at a time, it is possible to separate the </w:t>
      </w:r>
      <w:r w:rsidRPr="00541E47">
        <w:rPr>
          <w:i/>
          <w:color w:val="000000" w:themeColor="text1"/>
          <w:lang w:val="en-US"/>
        </w:rPr>
        <w:t>within-period</w:t>
      </w:r>
      <w:r w:rsidRPr="00541E47">
        <w:rPr>
          <w:color w:val="000000" w:themeColor="text1"/>
          <w:lang w:val="en-US"/>
        </w:rPr>
        <w:t xml:space="preserve"> component from the </w:t>
      </w:r>
      <w:r w:rsidRPr="00541E47">
        <w:rPr>
          <w:i/>
          <w:color w:val="000000" w:themeColor="text1"/>
          <w:lang w:val="en-US"/>
        </w:rPr>
        <w:t>between-period</w:t>
      </w:r>
      <w:r w:rsidRPr="00541E47">
        <w:rPr>
          <w:color w:val="000000" w:themeColor="text1"/>
          <w:lang w:val="en-US"/>
        </w:rPr>
        <w:t xml:space="preserve"> component, where the latter </w:t>
      </w:r>
      <w:r w:rsidR="0014614D" w:rsidRPr="00541E47">
        <w:rPr>
          <w:color w:val="000000" w:themeColor="text1"/>
          <w:lang w:val="en-US"/>
        </w:rPr>
        <w:t xml:space="preserve">dictates </w:t>
      </w:r>
      <w:r w:rsidRPr="00541E47">
        <w:rPr>
          <w:color w:val="000000" w:themeColor="text1"/>
          <w:lang w:val="en-US"/>
        </w:rPr>
        <w:t xml:space="preserve">the </w:t>
      </w:r>
      <w:r w:rsidR="00065A6B" w:rsidRPr="00541E47">
        <w:rPr>
          <w:color w:val="000000" w:themeColor="text1"/>
          <w:lang w:val="en-US"/>
        </w:rPr>
        <w:t xml:space="preserve">model’s </w:t>
      </w:r>
      <w:r w:rsidRPr="00541E47">
        <w:rPr>
          <w:color w:val="000000" w:themeColor="text1"/>
          <w:lang w:val="en-US"/>
        </w:rPr>
        <w:t xml:space="preserve">dynamics. </w:t>
      </w:r>
      <w:r w:rsidR="00AD399D" w:rsidRPr="00541E47">
        <w:rPr>
          <w:color w:val="000000" w:themeColor="text1"/>
          <w:lang w:val="en-US"/>
        </w:rPr>
        <w:t xml:space="preserve">In the following sections, we present </w:t>
      </w:r>
      <w:r w:rsidRPr="00541E47">
        <w:rPr>
          <w:color w:val="000000" w:themeColor="text1"/>
          <w:lang w:val="en-US"/>
        </w:rPr>
        <w:t>a</w:t>
      </w:r>
      <w:r w:rsidR="00AD399D" w:rsidRPr="00541E47">
        <w:rPr>
          <w:color w:val="000000" w:themeColor="text1"/>
          <w:lang w:val="en-US"/>
        </w:rPr>
        <w:t xml:space="preserve">n </w:t>
      </w:r>
      <w:r w:rsidRPr="00541E47">
        <w:rPr>
          <w:color w:val="000000" w:themeColor="text1"/>
          <w:lang w:val="en-US"/>
        </w:rPr>
        <w:t xml:space="preserve">overview of the model’s structure. </w:t>
      </w:r>
    </w:p>
    <w:p w:rsidR="00106054" w:rsidRPr="00541E47" w:rsidRDefault="00106054" w:rsidP="000115EF">
      <w:pPr>
        <w:jc w:val="both"/>
        <w:rPr>
          <w:color w:val="000000" w:themeColor="text1"/>
          <w:lang w:val="en-US"/>
        </w:rPr>
      </w:pPr>
    </w:p>
    <w:p w:rsidR="00106054" w:rsidRPr="00541E47" w:rsidRDefault="008D0138" w:rsidP="000115EF">
      <w:pPr>
        <w:pStyle w:val="Titre2"/>
        <w:spacing w:line="240" w:lineRule="auto"/>
        <w:jc w:val="both"/>
        <w:rPr>
          <w:rFonts w:cs="Times New Roman"/>
          <w:color w:val="000000" w:themeColor="text1"/>
          <w:lang w:val="en-US"/>
        </w:rPr>
      </w:pPr>
      <w:bookmarkStart w:id="2" w:name="_Toc189443939"/>
      <w:r w:rsidRPr="00541E47">
        <w:rPr>
          <w:rFonts w:cs="Times New Roman"/>
          <w:color w:val="000000" w:themeColor="text1"/>
          <w:lang w:val="en-US"/>
        </w:rPr>
        <w:t>2</w:t>
      </w:r>
      <w:r w:rsidR="00781D7F" w:rsidRPr="00541E47">
        <w:rPr>
          <w:rFonts w:cs="Times New Roman"/>
          <w:color w:val="000000" w:themeColor="text1"/>
          <w:lang w:val="en-US"/>
        </w:rPr>
        <w:t>.</w:t>
      </w:r>
      <w:r w:rsidR="00397C57" w:rsidRPr="00541E47">
        <w:rPr>
          <w:rFonts w:cs="Times New Roman"/>
          <w:color w:val="000000" w:themeColor="text1"/>
          <w:lang w:val="en-US"/>
        </w:rPr>
        <w:t>2</w:t>
      </w:r>
      <w:r w:rsidR="00D4272C" w:rsidRPr="00541E47">
        <w:rPr>
          <w:rFonts w:cs="Times New Roman"/>
          <w:color w:val="000000" w:themeColor="text1"/>
          <w:lang w:val="en-US"/>
        </w:rPr>
        <w:t>.1.</w:t>
      </w:r>
      <w:r w:rsidR="00106054" w:rsidRPr="00541E47">
        <w:rPr>
          <w:rFonts w:cs="Times New Roman"/>
          <w:color w:val="000000" w:themeColor="text1"/>
          <w:lang w:val="en-US"/>
        </w:rPr>
        <w:t xml:space="preserve"> Within-period Specification</w:t>
      </w:r>
      <w:bookmarkEnd w:id="2"/>
    </w:p>
    <w:p w:rsidR="00106054" w:rsidRPr="00541E47" w:rsidRDefault="00106054" w:rsidP="000115EF">
      <w:pPr>
        <w:jc w:val="both"/>
        <w:rPr>
          <w:color w:val="000000" w:themeColor="text1"/>
          <w:lang w:val="en-US"/>
        </w:rPr>
      </w:pPr>
      <w:r w:rsidRPr="00541E47">
        <w:rPr>
          <w:color w:val="000000" w:themeColor="text1"/>
          <w:lang w:val="en-US"/>
        </w:rPr>
        <w:t>The within-period component describes a one-period static CGE model. The following description of this model is divided into the derivation of production</w:t>
      </w:r>
      <w:r w:rsidR="006505FE" w:rsidRPr="00541E47">
        <w:rPr>
          <w:color w:val="000000" w:themeColor="text1"/>
          <w:lang w:val="en-US"/>
        </w:rPr>
        <w:t xml:space="preserve">, </w:t>
      </w:r>
      <w:r w:rsidRPr="00541E47">
        <w:rPr>
          <w:color w:val="000000" w:themeColor="text1"/>
          <w:lang w:val="en-US"/>
        </w:rPr>
        <w:t>prices, institutional incomes and demand</w:t>
      </w:r>
      <w:r w:rsidR="006505FE" w:rsidRPr="00541E47">
        <w:rPr>
          <w:color w:val="000000" w:themeColor="text1"/>
          <w:lang w:val="en-US"/>
        </w:rPr>
        <w:t>, foreign exchanges and Government budget</w:t>
      </w:r>
      <w:r w:rsidRPr="00541E47">
        <w:rPr>
          <w:color w:val="000000" w:themeColor="text1"/>
          <w:lang w:val="en-US"/>
        </w:rPr>
        <w:t xml:space="preserve">. Equilibrium is maintained through a series of system constraints which are discussed </w:t>
      </w:r>
      <w:r w:rsidR="00DC6812" w:rsidRPr="00541E47">
        <w:rPr>
          <w:color w:val="000000" w:themeColor="text1"/>
          <w:lang w:val="en-US"/>
        </w:rPr>
        <w:t>at the end</w:t>
      </w:r>
      <w:r w:rsidRPr="00541E47">
        <w:rPr>
          <w:color w:val="000000" w:themeColor="text1"/>
          <w:lang w:val="en-US"/>
        </w:rPr>
        <w:t>.</w:t>
      </w:r>
    </w:p>
    <w:p w:rsidR="00CE0F60" w:rsidRPr="00541E47" w:rsidRDefault="00CE0F60" w:rsidP="000115EF">
      <w:pPr>
        <w:pStyle w:val="Titre3"/>
        <w:spacing w:line="240" w:lineRule="auto"/>
        <w:jc w:val="both"/>
        <w:rPr>
          <w:rFonts w:cs="Times New Roman"/>
          <w:color w:val="000000" w:themeColor="text1"/>
          <w:lang w:val="en-US"/>
        </w:rPr>
      </w:pPr>
      <w:bookmarkStart w:id="3" w:name="_Toc189443940"/>
    </w:p>
    <w:p w:rsidR="00106054" w:rsidRPr="00541E47" w:rsidRDefault="00106054" w:rsidP="000115EF">
      <w:pPr>
        <w:pStyle w:val="Titre3"/>
        <w:spacing w:line="240" w:lineRule="auto"/>
        <w:jc w:val="both"/>
        <w:rPr>
          <w:rFonts w:cs="Times New Roman"/>
          <w:color w:val="000000" w:themeColor="text1"/>
          <w:lang w:val="en-US"/>
        </w:rPr>
      </w:pPr>
      <w:r w:rsidRPr="00541E47">
        <w:rPr>
          <w:rFonts w:cs="Times New Roman"/>
          <w:color w:val="000000" w:themeColor="text1"/>
          <w:lang w:val="en-US"/>
        </w:rPr>
        <w:t>Production and Prices</w:t>
      </w:r>
      <w:bookmarkEnd w:id="3"/>
    </w:p>
    <w:p w:rsidR="00106054" w:rsidRPr="00541E47" w:rsidRDefault="00106054" w:rsidP="000115EF">
      <w:pPr>
        <w:jc w:val="both"/>
        <w:rPr>
          <w:color w:val="000000" w:themeColor="text1"/>
          <w:lang w:val="en-US"/>
        </w:rPr>
      </w:pPr>
      <w:r w:rsidRPr="00541E47">
        <w:rPr>
          <w:color w:val="000000" w:themeColor="text1"/>
          <w:lang w:val="en-US"/>
        </w:rPr>
        <w:t xml:space="preserve">The model identifies </w:t>
      </w:r>
      <w:r w:rsidR="00830AE9" w:rsidRPr="00541E47">
        <w:rPr>
          <w:color w:val="000000" w:themeColor="text1"/>
          <w:lang w:val="en-US"/>
        </w:rPr>
        <w:t>21</w:t>
      </w:r>
      <w:r w:rsidRPr="00541E47">
        <w:rPr>
          <w:color w:val="000000" w:themeColor="text1"/>
          <w:lang w:val="en-US"/>
        </w:rPr>
        <w:t xml:space="preserve"> productive sectors or activities that combine primary </w:t>
      </w:r>
      <w:r w:rsidR="00C057DE" w:rsidRPr="00541E47">
        <w:rPr>
          <w:color w:val="000000" w:themeColor="text1"/>
          <w:lang w:val="en-US"/>
        </w:rPr>
        <w:t xml:space="preserve">inputs </w:t>
      </w:r>
      <w:r w:rsidRPr="00541E47">
        <w:rPr>
          <w:color w:val="000000" w:themeColor="text1"/>
          <w:lang w:val="en-US"/>
        </w:rPr>
        <w:t xml:space="preserve">with intermediate commodities to determine a level of output. The </w:t>
      </w:r>
      <w:r w:rsidR="00BA1111" w:rsidRPr="00541E47">
        <w:rPr>
          <w:color w:val="000000" w:themeColor="text1"/>
          <w:lang w:val="en-US"/>
        </w:rPr>
        <w:t xml:space="preserve">three </w:t>
      </w:r>
      <w:r w:rsidR="00C057DE" w:rsidRPr="00541E47">
        <w:rPr>
          <w:color w:val="000000" w:themeColor="text1"/>
          <w:lang w:val="en-US"/>
        </w:rPr>
        <w:t>inputs</w:t>
      </w:r>
      <w:r w:rsidRPr="00541E47">
        <w:rPr>
          <w:color w:val="000000" w:themeColor="text1"/>
          <w:lang w:val="en-US"/>
        </w:rPr>
        <w:t xml:space="preserve"> identified in the model include </w:t>
      </w:r>
      <w:r w:rsidR="006505FE" w:rsidRPr="00541E47">
        <w:rPr>
          <w:color w:val="000000" w:themeColor="text1"/>
          <w:lang w:val="en-US"/>
        </w:rPr>
        <w:t xml:space="preserve">private </w:t>
      </w:r>
      <w:r w:rsidRPr="00541E47">
        <w:rPr>
          <w:color w:val="000000" w:themeColor="text1"/>
          <w:lang w:val="en-US"/>
        </w:rPr>
        <w:t xml:space="preserve">capital, </w:t>
      </w:r>
      <w:r w:rsidR="006505FE" w:rsidRPr="00541E47">
        <w:rPr>
          <w:color w:val="000000" w:themeColor="text1"/>
          <w:lang w:val="en-US"/>
        </w:rPr>
        <w:t>public capital</w:t>
      </w:r>
      <w:r w:rsidR="00BA1111" w:rsidRPr="00541E47">
        <w:rPr>
          <w:color w:val="000000" w:themeColor="text1"/>
          <w:lang w:val="en-US"/>
        </w:rPr>
        <w:t xml:space="preserve"> </w:t>
      </w:r>
      <w:r w:rsidRPr="00541E47">
        <w:rPr>
          <w:color w:val="000000" w:themeColor="text1"/>
          <w:lang w:val="en-US"/>
        </w:rPr>
        <w:t xml:space="preserve">and labor. Producers in the model make decisions in order to maximize profits subject to constant returns to scale, with the choice between factors being </w:t>
      </w:r>
      <w:r w:rsidR="00F01200" w:rsidRPr="00541E47">
        <w:rPr>
          <w:color w:val="000000" w:themeColor="text1"/>
          <w:lang w:val="en-US"/>
        </w:rPr>
        <w:t>guided</w:t>
      </w:r>
      <w:r w:rsidR="00173B3C" w:rsidRPr="00541E47">
        <w:rPr>
          <w:color w:val="000000" w:themeColor="text1"/>
          <w:lang w:val="en-US"/>
        </w:rPr>
        <w:t xml:space="preserve"> </w:t>
      </w:r>
      <w:r w:rsidRPr="00541E47">
        <w:rPr>
          <w:color w:val="000000" w:themeColor="text1"/>
          <w:lang w:val="en-US"/>
        </w:rPr>
        <w:t xml:space="preserve">by a constant elasticity of substitution (CES) function. This specification allows producers to respond to changes in relative </w:t>
      </w:r>
      <w:r w:rsidR="00715CB9" w:rsidRPr="00541E47">
        <w:rPr>
          <w:color w:val="000000" w:themeColor="text1"/>
          <w:lang w:val="en-US"/>
        </w:rPr>
        <w:t xml:space="preserve">labor and private </w:t>
      </w:r>
      <w:r w:rsidR="000A1F08" w:rsidRPr="00541E47">
        <w:rPr>
          <w:color w:val="000000" w:themeColor="text1"/>
          <w:lang w:val="en-US"/>
        </w:rPr>
        <w:t xml:space="preserve">returns to </w:t>
      </w:r>
      <w:r w:rsidR="00715CB9" w:rsidRPr="00541E47">
        <w:rPr>
          <w:color w:val="000000" w:themeColor="text1"/>
          <w:lang w:val="en-US"/>
        </w:rPr>
        <w:t xml:space="preserve">capital </w:t>
      </w:r>
      <w:r w:rsidRPr="00541E47">
        <w:rPr>
          <w:color w:val="000000" w:themeColor="text1"/>
          <w:lang w:val="en-US"/>
        </w:rPr>
        <w:t>factor</w:t>
      </w:r>
      <w:r w:rsidR="000A1F08" w:rsidRPr="00541E47">
        <w:rPr>
          <w:color w:val="000000" w:themeColor="text1"/>
          <w:lang w:val="en-US"/>
        </w:rPr>
        <w:t>s</w:t>
      </w:r>
      <w:r w:rsidRPr="00541E47">
        <w:rPr>
          <w:color w:val="000000" w:themeColor="text1"/>
          <w:lang w:val="en-US"/>
        </w:rPr>
        <w:t xml:space="preserve"> by smoothly substituting between available factors so as to derive a final value-added composite. Profit</w:t>
      </w:r>
      <w:r w:rsidR="00737279" w:rsidRPr="00541E47">
        <w:rPr>
          <w:color w:val="000000" w:themeColor="text1"/>
          <w:lang w:val="en-US"/>
        </w:rPr>
        <w:t xml:space="preserve"> </w:t>
      </w:r>
      <w:r w:rsidRPr="00541E47">
        <w:rPr>
          <w:color w:val="000000" w:themeColor="text1"/>
          <w:lang w:val="en-US"/>
        </w:rPr>
        <w:t xml:space="preserve">maximization implies that </w:t>
      </w:r>
      <w:r w:rsidR="002B5FA0" w:rsidRPr="00541E47">
        <w:rPr>
          <w:color w:val="000000" w:themeColor="text1"/>
          <w:lang w:val="en-US"/>
        </w:rPr>
        <w:t>factors generate</w:t>
      </w:r>
      <w:r w:rsidR="00D65CDC" w:rsidRPr="00541E47">
        <w:rPr>
          <w:color w:val="000000" w:themeColor="text1"/>
          <w:lang w:val="en-US"/>
        </w:rPr>
        <w:t xml:space="preserve"> </w:t>
      </w:r>
      <w:r w:rsidRPr="00541E47">
        <w:rPr>
          <w:color w:val="000000" w:themeColor="text1"/>
          <w:lang w:val="en-US"/>
        </w:rPr>
        <w:t xml:space="preserve">income where marginal revenue equals marginal cost based on endogenous relative prices. </w:t>
      </w:r>
    </w:p>
    <w:p w:rsidR="00F200B7" w:rsidRPr="00541E47" w:rsidRDefault="00F200B7" w:rsidP="000115EF">
      <w:pPr>
        <w:jc w:val="both"/>
        <w:rPr>
          <w:color w:val="000000" w:themeColor="text1"/>
          <w:lang w:val="en-US"/>
        </w:rPr>
      </w:pPr>
    </w:p>
    <w:p w:rsidR="00133AE7" w:rsidRPr="00541E47" w:rsidRDefault="0057352F" w:rsidP="000115EF">
      <w:pPr>
        <w:jc w:val="both"/>
        <w:rPr>
          <w:color w:val="000000" w:themeColor="text1"/>
          <w:lang w:val="en-US"/>
        </w:rPr>
      </w:pPr>
      <w:r w:rsidRPr="00541E47">
        <w:rPr>
          <w:color w:val="000000" w:themeColor="text1"/>
          <w:lang w:val="en-US"/>
        </w:rPr>
        <w:t>As in Cabral, Cisse and Diagne (2010), t</w:t>
      </w:r>
      <w:r w:rsidR="00A86800" w:rsidRPr="00541E47">
        <w:rPr>
          <w:color w:val="000000" w:themeColor="text1"/>
          <w:lang w:val="en-US"/>
        </w:rPr>
        <w:t xml:space="preserve">he total factor productivity </w:t>
      </w:r>
      <w:r w:rsidR="00133AE7" w:rsidRPr="00541E47">
        <w:rPr>
          <w:color w:val="000000" w:themeColor="text1"/>
          <w:lang w:val="en-US"/>
        </w:rPr>
        <w:t xml:space="preserve">(TFP) </w:t>
      </w:r>
      <w:r w:rsidR="00A86800" w:rsidRPr="00541E47">
        <w:rPr>
          <w:color w:val="000000" w:themeColor="text1"/>
          <w:lang w:val="en-US"/>
        </w:rPr>
        <w:t xml:space="preserve">is </w:t>
      </w:r>
      <w:r w:rsidR="00133AE7" w:rsidRPr="00541E47">
        <w:rPr>
          <w:color w:val="000000" w:themeColor="text1"/>
          <w:lang w:val="en-US"/>
        </w:rPr>
        <w:t xml:space="preserve">endogeneously determined and is supposed to be </w:t>
      </w:r>
      <w:r w:rsidR="00A86800" w:rsidRPr="00541E47">
        <w:rPr>
          <w:color w:val="000000" w:themeColor="text1"/>
          <w:lang w:val="en-US"/>
        </w:rPr>
        <w:t>a function of human capital</w:t>
      </w:r>
      <w:r w:rsidR="00133AE7" w:rsidRPr="00541E47">
        <w:rPr>
          <w:color w:val="000000" w:themeColor="text1"/>
          <w:lang w:val="en-US"/>
        </w:rPr>
        <w:t xml:space="preserve">, </w:t>
      </w:r>
      <w:r w:rsidR="00A86800" w:rsidRPr="00541E47">
        <w:rPr>
          <w:color w:val="000000" w:themeColor="text1"/>
          <w:lang w:val="en-US"/>
        </w:rPr>
        <w:t>research-development</w:t>
      </w:r>
      <w:r w:rsidR="00133AE7" w:rsidRPr="00541E47">
        <w:rPr>
          <w:color w:val="000000" w:themeColor="text1"/>
          <w:lang w:val="en-US"/>
        </w:rPr>
        <w:t xml:space="preserve">, </w:t>
      </w:r>
      <w:r w:rsidR="00A86800" w:rsidRPr="00541E47">
        <w:rPr>
          <w:color w:val="000000" w:themeColor="text1"/>
          <w:lang w:val="en-US"/>
        </w:rPr>
        <w:t xml:space="preserve">infrastructures, the ratio between the total public capital and the </w:t>
      </w:r>
      <w:r w:rsidR="00A86800" w:rsidRPr="00541E47">
        <w:rPr>
          <w:color w:val="000000" w:themeColor="text1"/>
          <w:lang w:val="en-CA"/>
        </w:rPr>
        <w:t>sectorial</w:t>
      </w:r>
      <w:r w:rsidR="00A86800" w:rsidRPr="00541E47">
        <w:rPr>
          <w:color w:val="000000" w:themeColor="text1"/>
          <w:lang w:val="en-US"/>
        </w:rPr>
        <w:t xml:space="preserve"> private capital and the sensitivity of the TFP to all </w:t>
      </w:r>
      <w:r w:rsidR="00DC6812" w:rsidRPr="00541E47">
        <w:rPr>
          <w:color w:val="000000" w:themeColor="text1"/>
          <w:lang w:val="en-US"/>
        </w:rPr>
        <w:t xml:space="preserve">of </w:t>
      </w:r>
      <w:r w:rsidR="00A86800" w:rsidRPr="00541E47">
        <w:rPr>
          <w:color w:val="000000" w:themeColor="text1"/>
          <w:lang w:val="en-US"/>
        </w:rPr>
        <w:t xml:space="preserve">those factors </w:t>
      </w:r>
      <w:r w:rsidR="00DC6812" w:rsidRPr="00541E47">
        <w:rPr>
          <w:color w:val="000000" w:themeColor="text1"/>
          <w:lang w:val="en-US"/>
        </w:rPr>
        <w:t xml:space="preserve">specified with </w:t>
      </w:r>
      <w:r w:rsidR="00A86800" w:rsidRPr="00541E47">
        <w:rPr>
          <w:color w:val="000000" w:themeColor="text1"/>
          <w:lang w:val="en-US"/>
        </w:rPr>
        <w:t>elasticities. The total public capital stock creates for each activity a positive externality that affects the total productivity of the sector. The TFP will then be affected by the distribution of public investment between human capital, research-development and infrastructures. It will also be affected by the level of externality that the sector</w:t>
      </w:r>
      <w:r w:rsidR="00DC6812" w:rsidRPr="00541E47">
        <w:rPr>
          <w:color w:val="000000" w:themeColor="text1"/>
          <w:lang w:val="en-US"/>
        </w:rPr>
        <w:t xml:space="preserve"> perceives, in terms of benefits,</w:t>
      </w:r>
      <w:r w:rsidR="00A86800" w:rsidRPr="00541E47">
        <w:rPr>
          <w:color w:val="000000" w:themeColor="text1"/>
          <w:lang w:val="en-US"/>
        </w:rPr>
        <w:t xml:space="preserve"> and the elasticity of TFP </w:t>
      </w:r>
      <w:r w:rsidR="00DC6812" w:rsidRPr="00541E47">
        <w:rPr>
          <w:color w:val="000000" w:themeColor="text1"/>
          <w:lang w:val="en-US"/>
        </w:rPr>
        <w:t xml:space="preserve">with respect </w:t>
      </w:r>
      <w:r w:rsidR="00A86800" w:rsidRPr="00541E47">
        <w:rPr>
          <w:color w:val="000000" w:themeColor="text1"/>
          <w:lang w:val="en-US"/>
        </w:rPr>
        <w:t>to all factors</w:t>
      </w:r>
      <w:r w:rsidR="00133AE7" w:rsidRPr="00541E47">
        <w:rPr>
          <w:color w:val="000000" w:themeColor="text1"/>
          <w:lang w:val="en-US"/>
        </w:rPr>
        <w:t>.</w:t>
      </w:r>
    </w:p>
    <w:p w:rsidR="00133AE7" w:rsidRPr="00541E47" w:rsidRDefault="00133AE7"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C52CCA" w:rsidRDefault="00C52CCA" w:rsidP="000115EF">
      <w:pPr>
        <w:pBdr>
          <w:bottom w:val="single" w:sz="4" w:space="0" w:color="auto"/>
        </w:pBdr>
        <w:jc w:val="both"/>
        <w:rPr>
          <w:color w:val="000000" w:themeColor="text1"/>
          <w:lang w:val="en-US"/>
        </w:rPr>
      </w:pPr>
    </w:p>
    <w:p w:rsidR="00106054" w:rsidRPr="00541E47" w:rsidRDefault="009875E2" w:rsidP="000115EF">
      <w:pPr>
        <w:pBdr>
          <w:bottom w:val="single" w:sz="4" w:space="0" w:color="auto"/>
        </w:pBdr>
        <w:jc w:val="both"/>
        <w:rPr>
          <w:color w:val="000000" w:themeColor="text1"/>
          <w:vertAlign w:val="superscript"/>
          <w:lang w:val="en-US"/>
        </w:rPr>
      </w:pPr>
      <w:r w:rsidRPr="00541E47">
        <w:rPr>
          <w:color w:val="000000" w:themeColor="text1"/>
          <w:lang w:val="en-US"/>
        </w:rPr>
        <w:lastRenderedPageBreak/>
        <w:t>Graph 1</w:t>
      </w:r>
      <w:r w:rsidR="00106054" w:rsidRPr="00541E47">
        <w:rPr>
          <w:color w:val="000000" w:themeColor="text1"/>
          <w:lang w:val="en-US"/>
        </w:rPr>
        <w:t>: Production Technology</w:t>
      </w:r>
      <w:r w:rsidR="00106054" w:rsidRPr="00541E47">
        <w:rPr>
          <w:color w:val="000000" w:themeColor="text1"/>
          <w:vertAlign w:val="superscript"/>
          <w:lang w:val="en-US"/>
        </w:rPr>
        <w:t>1</w:t>
      </w:r>
    </w:p>
    <w:p w:rsidR="00106054" w:rsidRPr="00541E47" w:rsidRDefault="00C96721" w:rsidP="000115EF">
      <w:pPr>
        <w:jc w:val="both"/>
        <w:rPr>
          <w:color w:val="000000" w:themeColor="text1"/>
          <w:lang w:val="en-US"/>
        </w:rPr>
      </w:pPr>
      <w:r w:rsidRPr="00C96721">
        <w:rPr>
          <w:noProof/>
          <w:color w:val="000000" w:themeColor="text1"/>
          <w:lang w:val="en-US"/>
        </w:rPr>
        <w:pict>
          <v:shapetype id="_x0000_t202" coordsize="21600,21600" o:spt="202" path="m,l,21600r21600,l21600,xe">
            <v:stroke joinstyle="miter"/>
            <v:path gradientshapeok="t" o:connecttype="rect"/>
          </v:shapetype>
          <v:shape id="_x0000_s1026" type="#_x0000_t202" style="position:absolute;left:0;text-align:left;margin-left:171pt;margin-top:5.85pt;width:126pt;height:20.95pt;z-index:251595776">
            <v:textbox style="mso-next-textbox:#_x0000_s1026">
              <w:txbxContent>
                <w:p w:rsidR="004E0C38" w:rsidRDefault="004E0C38">
                  <w:pPr>
                    <w:jc w:val="center"/>
                    <w:rPr>
                      <w:sz w:val="20"/>
                    </w:rPr>
                  </w:pPr>
                  <w:r>
                    <w:rPr>
                      <w:sz w:val="20"/>
                    </w:rPr>
                    <w:t>Sector Output</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40" type="#_x0000_t202" style="position:absolute;left:0;text-align:left;margin-left:234pt;margin-top:13pt;width:54pt;height:18pt;z-index:251610112" filled="f" stroked="f">
            <v:textbox style="mso-next-textbox:#_x0000_s1040">
              <w:txbxContent>
                <w:p w:rsidR="004E0C38" w:rsidRDefault="004E0C38">
                  <w:pPr>
                    <w:pStyle w:val="Notedebasdepage"/>
                    <w:jc w:val="center"/>
                    <w:rPr>
                      <w:szCs w:val="24"/>
                    </w:rPr>
                  </w:pPr>
                  <w:r>
                    <w:rPr>
                      <w:szCs w:val="24"/>
                    </w:rPr>
                    <w:t>Leontief</w:t>
                  </w:r>
                </w:p>
              </w:txbxContent>
            </v:textbox>
          </v:shape>
        </w:pict>
      </w:r>
      <w:r w:rsidRPr="00C96721">
        <w:rPr>
          <w:noProof/>
          <w:color w:val="000000" w:themeColor="text1"/>
          <w:lang w:val="en-US"/>
        </w:rPr>
        <w:pict>
          <v:line id="_x0000_s1032" style="position:absolute;left:0;text-align:left;flip:y;z-index:251601920" from="234pt,13pt" to="234pt,29.95pt">
            <v:stroke endarrow="block"/>
          </v:line>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29" type="#_x0000_t202" style="position:absolute;left:0;text-align:left;margin-left:306pt;margin-top:12.4pt;width:99pt;height:18pt;z-index:251598848">
            <v:textbox style="mso-next-textbox:#_x0000_s1029">
              <w:txbxContent>
                <w:p w:rsidR="004E0C38" w:rsidRDefault="004E0C38">
                  <w:pPr>
                    <w:jc w:val="center"/>
                    <w:rPr>
                      <w:sz w:val="20"/>
                    </w:rPr>
                  </w:pPr>
                  <w:r w:rsidRPr="00F01200">
                    <w:rPr>
                      <w:sz w:val="20"/>
                    </w:rPr>
                    <w:t>Intermediates</w:t>
                  </w:r>
                </w:p>
              </w:txbxContent>
            </v:textbox>
          </v:shape>
        </w:pict>
      </w:r>
      <w:r w:rsidRPr="00C96721">
        <w:rPr>
          <w:noProof/>
          <w:color w:val="000000" w:themeColor="text1"/>
          <w:lang w:val="en-US"/>
        </w:rPr>
        <w:pict>
          <v:shape id="_x0000_s1027" type="#_x0000_t202" style="position:absolute;left:0;text-align:left;margin-left:81pt;margin-top:12.4pt;width:90pt;height:18pt;z-index:251596800">
            <v:textbox style="mso-next-textbox:#_x0000_s1027">
              <w:txbxContent>
                <w:p w:rsidR="004E0C38" w:rsidRDefault="004E0C38">
                  <w:pPr>
                    <w:jc w:val="center"/>
                    <w:rPr>
                      <w:sz w:val="20"/>
                    </w:rPr>
                  </w:pPr>
                  <w:r>
                    <w:rPr>
                      <w:sz w:val="20"/>
                    </w:rPr>
                    <w:t>Value added</w:t>
                  </w:r>
                </w:p>
              </w:txbxContent>
            </v:textbox>
          </v:shape>
        </w:pict>
      </w:r>
      <w:r w:rsidRPr="00C96721">
        <w:rPr>
          <w:noProof/>
          <w:color w:val="000000" w:themeColor="text1"/>
          <w:lang w:val="en-US"/>
        </w:rPr>
        <w:pict>
          <v:line id="_x0000_s1031" style="position:absolute;left:0;text-align:left;z-index:251600896" from="5in,3.4pt" to="5in,12.4pt"/>
        </w:pict>
      </w:r>
      <w:r w:rsidRPr="00C96721">
        <w:rPr>
          <w:noProof/>
          <w:color w:val="000000" w:themeColor="text1"/>
          <w:lang w:val="en-US"/>
        </w:rPr>
        <w:pict>
          <v:line id="_x0000_s1030" style="position:absolute;left:0;text-align:left;z-index:251599872" from="126pt,3.4pt" to="126pt,12.4pt"/>
        </w:pict>
      </w:r>
      <w:r w:rsidRPr="00C96721">
        <w:rPr>
          <w:noProof/>
          <w:color w:val="000000" w:themeColor="text1"/>
          <w:lang w:val="en-US"/>
        </w:rPr>
        <w:pict>
          <v:line id="_x0000_s1036" style="position:absolute;left:0;text-align:left;flip:y;z-index:251606016" from="126pt,3.4pt" to="5in,3.4pt"/>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39" type="#_x0000_t202" style="position:absolute;left:0;text-align:left;margin-left:126pt;margin-top:2.8pt;width:36pt;height:18pt;z-index:251609088" filled="f" stroked="f">
            <v:textbox style="mso-next-textbox:#_x0000_s1039">
              <w:txbxContent>
                <w:p w:rsidR="004E0C38" w:rsidRDefault="004E0C38">
                  <w:pPr>
                    <w:pStyle w:val="Notedebasdepage"/>
                    <w:jc w:val="center"/>
                    <w:rPr>
                      <w:szCs w:val="24"/>
                    </w:rPr>
                  </w:pPr>
                  <w:r>
                    <w:rPr>
                      <w:szCs w:val="24"/>
                    </w:rPr>
                    <w:t>CES</w:t>
                  </w:r>
                </w:p>
              </w:txbxContent>
            </v:textbox>
          </v:shape>
        </w:pict>
      </w:r>
      <w:r w:rsidRPr="00C96721">
        <w:rPr>
          <w:noProof/>
          <w:color w:val="000000" w:themeColor="text1"/>
          <w:lang w:val="en-US"/>
        </w:rPr>
        <w:pict>
          <v:line id="_x0000_s1033" style="position:absolute;left:0;text-align:left;flip:y;z-index:251602944" from="126pt,2.8pt" to="126pt,20.8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38" style="position:absolute;left:0;text-align:left;z-index:251608064" from="180pt,7pt" to="180pt,16pt"/>
        </w:pict>
      </w:r>
      <w:r w:rsidRPr="00C96721">
        <w:rPr>
          <w:noProof/>
          <w:color w:val="000000" w:themeColor="text1"/>
          <w:lang w:val="en-US"/>
        </w:rPr>
        <w:pict>
          <v:line id="_x0000_s1037" style="position:absolute;left:0;text-align:left;z-index:251607040" from="63pt,7pt" to="63pt,16pt"/>
        </w:pict>
      </w:r>
      <w:r w:rsidRPr="00C96721">
        <w:rPr>
          <w:noProof/>
          <w:color w:val="000000" w:themeColor="text1"/>
          <w:lang w:val="en-US"/>
        </w:rPr>
        <w:pict>
          <v:line id="_x0000_s1035" style="position:absolute;left:0;text-align:left;z-index:251604992" from="63pt,7pt" to="180pt,7pt"/>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34" type="#_x0000_t202" style="position:absolute;left:0;text-align:left;margin-left:2in;margin-top:2.2pt;width:1in;height:36pt;z-index:251603968">
            <v:textbox style="mso-next-textbox:#_x0000_s1034">
              <w:txbxContent>
                <w:p w:rsidR="004E0C38" w:rsidRDefault="004E0C38">
                  <w:pPr>
                    <w:jc w:val="center"/>
                    <w:rPr>
                      <w:sz w:val="20"/>
                    </w:rPr>
                  </w:pPr>
                  <w:r>
                    <w:rPr>
                      <w:sz w:val="20"/>
                    </w:rPr>
                    <w:t>Composite capital</w:t>
                  </w:r>
                </w:p>
              </w:txbxContent>
            </v:textbox>
          </v:shape>
        </w:pict>
      </w:r>
      <w:r w:rsidRPr="00C96721">
        <w:rPr>
          <w:noProof/>
          <w:color w:val="000000" w:themeColor="text1"/>
          <w:lang w:val="en-US"/>
        </w:rPr>
        <w:pict>
          <v:shape id="_x0000_s1028" type="#_x0000_t202" style="position:absolute;left:0;text-align:left;margin-left:27pt;margin-top:2.2pt;width:1in;height:36pt;z-index:251597824">
            <v:textbox style="mso-next-textbox:#_x0000_s1028">
              <w:txbxContent>
                <w:p w:rsidR="004E0C38" w:rsidRPr="00C23E53" w:rsidRDefault="004E0C38" w:rsidP="00C23E53">
                  <w:pPr>
                    <w:rPr>
                      <w:sz w:val="20"/>
                      <w:lang w:val="fr-CA"/>
                    </w:rPr>
                  </w:pPr>
                  <w:r>
                    <w:rPr>
                      <w:sz w:val="20"/>
                      <w:lang w:val="fr-CA"/>
                    </w:rPr>
                    <w:t>Labor</w:t>
                  </w:r>
                </w:p>
              </w:txbxContent>
            </v:textbox>
          </v:shape>
        </w:pict>
      </w:r>
    </w:p>
    <w:p w:rsidR="00106054" w:rsidRPr="00541E47" w:rsidRDefault="00C96721" w:rsidP="000115EF">
      <w:pPr>
        <w:jc w:val="both"/>
        <w:rPr>
          <w:color w:val="000000" w:themeColor="text1"/>
          <w:lang w:val="en-US"/>
        </w:rPr>
      </w:pPr>
      <w:r w:rsidRPr="00C96721">
        <w:rPr>
          <w:b/>
          <w:bCs/>
          <w:noProof/>
          <w:color w:val="000000" w:themeColor="text1"/>
          <w:lang w:val="en-US"/>
        </w:rPr>
        <w:pict>
          <v:line id="_x0000_s1041" style="position:absolute;left:0;text-align:left;z-index:251611136" from="108pt,4.3pt" to="135pt,4.3pt">
            <v:stroke dashstyle="dash"/>
          </v:line>
        </w:pict>
      </w:r>
    </w:p>
    <w:p w:rsidR="00106054" w:rsidRPr="00541E47" w:rsidRDefault="00C96721" w:rsidP="000115EF">
      <w:pPr>
        <w:pStyle w:val="Notedebasdepage"/>
        <w:jc w:val="both"/>
        <w:rPr>
          <w:noProof/>
          <w:color w:val="000000" w:themeColor="text1"/>
          <w:sz w:val="24"/>
          <w:szCs w:val="24"/>
        </w:rPr>
      </w:pPr>
      <w:r w:rsidRPr="00C96721">
        <w:rPr>
          <w:noProof/>
          <w:color w:val="000000" w:themeColor="text1"/>
          <w:sz w:val="24"/>
          <w:szCs w:val="24"/>
          <w:lang w:eastAsia="fr-CA"/>
        </w:rPr>
        <w:pict>
          <v:line id="_x0000_s1115" style="position:absolute;left:0;text-align:left;z-index:251686912" from="189pt,7.6pt" to="189pt,35.5pt"/>
        </w:pict>
      </w:r>
      <w:r w:rsidRPr="00C96721">
        <w:rPr>
          <w:noProof/>
          <w:color w:val="000000" w:themeColor="text1"/>
          <w:sz w:val="24"/>
          <w:szCs w:val="24"/>
          <w:lang w:eastAsia="fr-CA"/>
        </w:rPr>
        <w:pict>
          <v:line id="_x0000_s1112" style="position:absolute;left:0;text-align:left;z-index:251683840" from="99pt,1.6pt" to="99pt,10.6pt"/>
        </w:pict>
      </w:r>
    </w:p>
    <w:p w:rsidR="00106054" w:rsidRPr="00541E47" w:rsidRDefault="00C96721" w:rsidP="000115EF">
      <w:pPr>
        <w:pStyle w:val="Notedebasdepage"/>
        <w:jc w:val="both"/>
        <w:rPr>
          <w:noProof/>
          <w:color w:val="000000" w:themeColor="text1"/>
          <w:sz w:val="24"/>
          <w:szCs w:val="24"/>
        </w:rPr>
      </w:pPr>
      <w:r w:rsidRPr="00C96721">
        <w:rPr>
          <w:noProof/>
          <w:color w:val="000000" w:themeColor="text1"/>
          <w:sz w:val="24"/>
          <w:szCs w:val="24"/>
          <w:lang w:eastAsia="fr-CA"/>
        </w:rPr>
        <w:pict>
          <v:shape id="_x0000_s1116" type="#_x0000_t202" style="position:absolute;left:0;text-align:left;margin-left:198pt;margin-top:3.7pt;width:54pt;height:18pt;z-index:251687936" filled="f" stroked="f">
            <v:textbox style="mso-next-textbox:#_x0000_s1116">
              <w:txbxContent>
                <w:p w:rsidR="004E0C38" w:rsidRDefault="004E0C38" w:rsidP="00715CB9">
                  <w:pPr>
                    <w:pStyle w:val="Notedebasdepage"/>
                    <w:jc w:val="center"/>
                    <w:rPr>
                      <w:szCs w:val="24"/>
                    </w:rPr>
                  </w:pPr>
                  <w:r>
                    <w:rPr>
                      <w:szCs w:val="24"/>
                    </w:rPr>
                    <w:t>Leontief</w:t>
                  </w:r>
                </w:p>
              </w:txbxContent>
            </v:textbox>
          </v:shape>
        </w:pict>
      </w:r>
    </w:p>
    <w:p w:rsidR="00106054" w:rsidRPr="00541E47" w:rsidRDefault="00C96721" w:rsidP="000115EF">
      <w:pPr>
        <w:pStyle w:val="Notedebasdepage"/>
        <w:pBdr>
          <w:bottom w:val="single" w:sz="6" w:space="1" w:color="auto"/>
        </w:pBdr>
        <w:jc w:val="both"/>
        <w:rPr>
          <w:noProof/>
          <w:color w:val="000000" w:themeColor="text1"/>
          <w:sz w:val="24"/>
          <w:szCs w:val="24"/>
        </w:rPr>
      </w:pPr>
      <w:r w:rsidRPr="00C96721">
        <w:rPr>
          <w:b/>
          <w:bCs/>
          <w:noProof/>
          <w:color w:val="000000" w:themeColor="text1"/>
          <w:lang w:eastAsia="fr-CA"/>
        </w:rPr>
        <w:pict>
          <v:line id="_x0000_s1113" style="position:absolute;left:0;text-align:left;z-index:251684864" from="162pt,7.9pt" to="162pt,34.9pt"/>
        </w:pict>
      </w:r>
      <w:r w:rsidRPr="00C96721">
        <w:rPr>
          <w:noProof/>
          <w:color w:val="000000" w:themeColor="text1"/>
          <w:sz w:val="24"/>
          <w:szCs w:val="24"/>
          <w:lang w:eastAsia="fr-CA"/>
        </w:rPr>
        <w:pict>
          <v:line id="_x0000_s1114" style="position:absolute;left:0;text-align:left;z-index:251685888" from="234pt,7.9pt" to="234pt,34.9pt"/>
        </w:pict>
      </w:r>
      <w:r w:rsidRPr="00C96721">
        <w:rPr>
          <w:noProof/>
          <w:color w:val="000000" w:themeColor="text1"/>
          <w:sz w:val="24"/>
          <w:szCs w:val="24"/>
          <w:lang w:eastAsia="fr-CA"/>
        </w:rPr>
        <w:pict>
          <v:line id="_x0000_s1111" style="position:absolute;left:0;text-align:left;z-index:251682816" from="162pt,7.9pt" to="234pt,7.9pt"/>
        </w:pict>
      </w:r>
    </w:p>
    <w:p w:rsidR="00106054" w:rsidRPr="00541E47" w:rsidRDefault="00106054" w:rsidP="000115EF">
      <w:pPr>
        <w:pStyle w:val="Notedebasdepage"/>
        <w:pBdr>
          <w:bottom w:val="single" w:sz="6" w:space="1" w:color="auto"/>
        </w:pBdr>
        <w:jc w:val="both"/>
        <w:rPr>
          <w:noProof/>
          <w:color w:val="000000" w:themeColor="text1"/>
          <w:sz w:val="24"/>
          <w:szCs w:val="24"/>
        </w:rPr>
      </w:pPr>
    </w:p>
    <w:p w:rsidR="006505FE" w:rsidRPr="00541E47" w:rsidRDefault="00C96721" w:rsidP="000115EF">
      <w:pPr>
        <w:pStyle w:val="Notedebasdepage"/>
        <w:pBdr>
          <w:bottom w:val="single" w:sz="6" w:space="1" w:color="auto"/>
        </w:pBdr>
        <w:jc w:val="both"/>
        <w:rPr>
          <w:noProof/>
          <w:color w:val="000000" w:themeColor="text1"/>
          <w:sz w:val="24"/>
          <w:szCs w:val="24"/>
        </w:rPr>
      </w:pPr>
      <w:r w:rsidRPr="00C96721">
        <w:rPr>
          <w:noProof/>
          <w:color w:val="000000" w:themeColor="text1"/>
          <w:sz w:val="24"/>
          <w:szCs w:val="24"/>
          <w:lang w:eastAsia="fr-CA"/>
        </w:rPr>
        <w:pict>
          <v:shape id="_x0000_s1110" type="#_x0000_t202" style="position:absolute;left:0;text-align:left;margin-left:3in;margin-top:7.3pt;width:54pt;height:36pt;z-index:251681792">
            <v:textbox style="mso-next-textbox:#_x0000_s1110">
              <w:txbxContent>
                <w:p w:rsidR="004E0C38" w:rsidRPr="00C23E53" w:rsidRDefault="004E0C38" w:rsidP="00C23E53">
                  <w:pPr>
                    <w:rPr>
                      <w:sz w:val="20"/>
                      <w:lang w:val="fr-CA"/>
                    </w:rPr>
                  </w:pPr>
                  <w:r>
                    <w:rPr>
                      <w:sz w:val="20"/>
                      <w:lang w:val="fr-CA"/>
                    </w:rPr>
                    <w:t>Public capital</w:t>
                  </w:r>
                </w:p>
              </w:txbxContent>
            </v:textbox>
          </v:shape>
        </w:pict>
      </w:r>
      <w:r w:rsidRPr="00C96721">
        <w:rPr>
          <w:noProof/>
          <w:color w:val="000000" w:themeColor="text1"/>
          <w:sz w:val="24"/>
          <w:szCs w:val="24"/>
          <w:lang w:eastAsia="fr-CA"/>
        </w:rPr>
        <w:pict>
          <v:shape id="_x0000_s1109" type="#_x0000_t202" style="position:absolute;left:0;text-align:left;margin-left:126pt;margin-top:7.3pt;width:63pt;height:36pt;z-index:251680768">
            <v:textbox style="mso-next-textbox:#_x0000_s1109">
              <w:txbxContent>
                <w:p w:rsidR="004E0C38" w:rsidRPr="00C23E53" w:rsidRDefault="004E0C38" w:rsidP="00C23E53">
                  <w:pPr>
                    <w:rPr>
                      <w:sz w:val="20"/>
                      <w:lang w:val="fr-CA"/>
                    </w:rPr>
                  </w:pPr>
                  <w:r>
                    <w:rPr>
                      <w:sz w:val="20"/>
                      <w:lang w:val="fr-CA"/>
                    </w:rPr>
                    <w:t>Private capital</w:t>
                  </w:r>
                </w:p>
              </w:txbxContent>
            </v:textbox>
          </v:shape>
        </w:pict>
      </w:r>
    </w:p>
    <w:p w:rsidR="006505FE" w:rsidRPr="00541E47" w:rsidRDefault="006505FE" w:rsidP="000115EF">
      <w:pPr>
        <w:pStyle w:val="Notedebasdepage"/>
        <w:pBdr>
          <w:bottom w:val="single" w:sz="6" w:space="1" w:color="auto"/>
        </w:pBdr>
        <w:jc w:val="both"/>
        <w:rPr>
          <w:noProof/>
          <w:color w:val="000000" w:themeColor="text1"/>
          <w:sz w:val="24"/>
          <w:szCs w:val="24"/>
        </w:rPr>
      </w:pPr>
    </w:p>
    <w:p w:rsidR="006505FE" w:rsidRPr="00541E47" w:rsidRDefault="006505FE" w:rsidP="000115EF">
      <w:pPr>
        <w:pStyle w:val="Notedebasdepage"/>
        <w:pBdr>
          <w:bottom w:val="single" w:sz="6" w:space="1" w:color="auto"/>
        </w:pBdr>
        <w:jc w:val="both"/>
        <w:rPr>
          <w:noProof/>
          <w:color w:val="000000" w:themeColor="text1"/>
          <w:sz w:val="24"/>
          <w:szCs w:val="24"/>
        </w:rPr>
      </w:pPr>
    </w:p>
    <w:p w:rsidR="006505FE" w:rsidRPr="00541E47" w:rsidRDefault="006505FE" w:rsidP="000115EF">
      <w:pPr>
        <w:pStyle w:val="Notedebasdepage"/>
        <w:pBdr>
          <w:bottom w:val="single" w:sz="6" w:space="1" w:color="auto"/>
        </w:pBdr>
        <w:jc w:val="both"/>
        <w:rPr>
          <w:noProof/>
          <w:color w:val="000000" w:themeColor="text1"/>
          <w:sz w:val="24"/>
          <w:szCs w:val="24"/>
        </w:rPr>
      </w:pPr>
    </w:p>
    <w:p w:rsidR="006505FE" w:rsidRPr="00541E47" w:rsidRDefault="006505FE" w:rsidP="000115EF">
      <w:pPr>
        <w:pStyle w:val="Notedebasdepage"/>
        <w:pBdr>
          <w:bottom w:val="single" w:sz="6" w:space="1" w:color="auto"/>
        </w:pBdr>
        <w:jc w:val="both"/>
        <w:rPr>
          <w:noProof/>
          <w:color w:val="000000" w:themeColor="text1"/>
          <w:sz w:val="24"/>
          <w:szCs w:val="24"/>
        </w:rPr>
      </w:pPr>
    </w:p>
    <w:p w:rsidR="00106054" w:rsidRPr="00541E47" w:rsidRDefault="00106054" w:rsidP="000115EF">
      <w:pPr>
        <w:jc w:val="both"/>
        <w:rPr>
          <w:color w:val="000000" w:themeColor="text1"/>
          <w:sz w:val="20"/>
          <w:szCs w:val="20"/>
          <w:lang w:val="en-US"/>
        </w:rPr>
      </w:pPr>
      <w:r w:rsidRPr="00541E47">
        <w:rPr>
          <w:color w:val="000000" w:themeColor="text1"/>
          <w:sz w:val="20"/>
          <w:szCs w:val="20"/>
          <w:lang w:val="en-US"/>
        </w:rPr>
        <w:t>1 ‘CES’ is a constant elasticity of substitution aggregation function. ‘Leontief’ is fixed shares.</w:t>
      </w:r>
    </w:p>
    <w:p w:rsidR="00106054" w:rsidRPr="00541E47" w:rsidRDefault="00106054" w:rsidP="000115EF">
      <w:pPr>
        <w:jc w:val="both"/>
        <w:rPr>
          <w:color w:val="000000" w:themeColor="text1"/>
          <w:lang w:val="en-US"/>
        </w:rPr>
      </w:pPr>
    </w:p>
    <w:p w:rsidR="00106054" w:rsidRPr="00541E47" w:rsidRDefault="00F35358" w:rsidP="000115EF">
      <w:pPr>
        <w:jc w:val="both"/>
        <w:rPr>
          <w:color w:val="000000" w:themeColor="text1"/>
          <w:lang w:val="en-US"/>
        </w:rPr>
      </w:pPr>
      <w:r w:rsidRPr="00541E47">
        <w:rPr>
          <w:color w:val="000000" w:themeColor="text1"/>
          <w:lang w:val="en-US"/>
        </w:rPr>
        <w:t xml:space="preserve">Graph </w:t>
      </w:r>
      <w:r w:rsidR="00106054" w:rsidRPr="00541E47">
        <w:rPr>
          <w:color w:val="000000" w:themeColor="text1"/>
          <w:lang w:val="en-US"/>
        </w:rPr>
        <w:t xml:space="preserve">2 traces the flow of </w:t>
      </w:r>
      <w:r w:rsidR="00065A6B" w:rsidRPr="00541E47">
        <w:rPr>
          <w:color w:val="000000" w:themeColor="text1"/>
          <w:lang w:val="en-US"/>
        </w:rPr>
        <w:t>one</w:t>
      </w:r>
      <w:r w:rsidR="00106054" w:rsidRPr="00541E47">
        <w:rPr>
          <w:color w:val="000000" w:themeColor="text1"/>
          <w:lang w:val="en-US"/>
        </w:rPr>
        <w:t xml:space="preserve"> commodity from </w:t>
      </w:r>
      <w:r w:rsidR="00630BD9" w:rsidRPr="00541E47">
        <w:rPr>
          <w:color w:val="000000" w:themeColor="text1"/>
          <w:lang w:val="en-US"/>
        </w:rPr>
        <w:t>its market supply</w:t>
      </w:r>
      <w:r w:rsidR="00E3590D" w:rsidRPr="00541E47">
        <w:rPr>
          <w:color w:val="000000" w:themeColor="text1"/>
          <w:lang w:val="en-US"/>
        </w:rPr>
        <w:t xml:space="preserve"> </w:t>
      </w:r>
      <w:r w:rsidR="001A026A" w:rsidRPr="00541E47">
        <w:rPr>
          <w:color w:val="000000" w:themeColor="text1"/>
          <w:lang w:val="en-US"/>
        </w:rPr>
        <w:t>to its</w:t>
      </w:r>
      <w:r w:rsidR="00106054" w:rsidRPr="00541E47">
        <w:rPr>
          <w:color w:val="000000" w:themeColor="text1"/>
          <w:lang w:val="en-US"/>
        </w:rPr>
        <w:t xml:space="preserve"> final demand. </w:t>
      </w:r>
      <w:r w:rsidR="006C1A07" w:rsidRPr="00541E47">
        <w:rPr>
          <w:color w:val="000000" w:themeColor="text1"/>
          <w:lang w:val="en-US"/>
        </w:rPr>
        <w:t>T</w:t>
      </w:r>
      <w:r w:rsidR="00106054" w:rsidRPr="00541E47">
        <w:rPr>
          <w:color w:val="000000" w:themeColor="text1"/>
          <w:lang w:val="en-US"/>
        </w:rPr>
        <w:t>he supply of a particular commodity from each producer is combined to derive aggregate commodity output</w:t>
      </w:r>
      <w:r w:rsidR="00630BD9" w:rsidRPr="00541E47">
        <w:rPr>
          <w:color w:val="000000" w:themeColor="text1"/>
          <w:lang w:val="en-US"/>
        </w:rPr>
        <w:t>s</w:t>
      </w:r>
      <w:r w:rsidR="00106054" w:rsidRPr="00541E47">
        <w:rPr>
          <w:color w:val="000000" w:themeColor="text1"/>
          <w:lang w:val="en-US"/>
        </w:rPr>
        <w:t xml:space="preserve">. This aggregation is </w:t>
      </w:r>
      <w:r w:rsidR="00AA31FA" w:rsidRPr="00541E47">
        <w:rPr>
          <w:color w:val="000000" w:themeColor="text1"/>
          <w:lang w:val="en-US"/>
        </w:rPr>
        <w:t xml:space="preserve">regulated </w:t>
      </w:r>
      <w:r w:rsidR="00106054" w:rsidRPr="00541E47">
        <w:rPr>
          <w:color w:val="000000" w:themeColor="text1"/>
          <w:lang w:val="en-US"/>
        </w:rPr>
        <w:t xml:space="preserve">by a CES function which allows </w:t>
      </w:r>
      <w:r w:rsidR="00DC6812" w:rsidRPr="00541E47">
        <w:rPr>
          <w:color w:val="000000" w:themeColor="text1"/>
          <w:lang w:val="en-US"/>
        </w:rPr>
        <w:t xml:space="preserve">consumers </w:t>
      </w:r>
      <w:r w:rsidR="00106054" w:rsidRPr="00541E47">
        <w:rPr>
          <w:color w:val="000000" w:themeColor="text1"/>
          <w:lang w:val="en-US"/>
        </w:rPr>
        <w:t xml:space="preserve">to substitute between the </w:t>
      </w:r>
      <w:r w:rsidR="00630BD9" w:rsidRPr="00541E47">
        <w:rPr>
          <w:color w:val="000000" w:themeColor="text1"/>
          <w:lang w:val="en-US"/>
        </w:rPr>
        <w:t xml:space="preserve">various </w:t>
      </w:r>
      <w:r w:rsidR="00106054" w:rsidRPr="00541E47">
        <w:rPr>
          <w:color w:val="000000" w:themeColor="text1"/>
          <w:lang w:val="en-US"/>
        </w:rPr>
        <w:t xml:space="preserve">producers supplying a particular commodity, in order to </w:t>
      </w:r>
      <w:r w:rsidR="002B5FA0" w:rsidRPr="00541E47">
        <w:rPr>
          <w:color w:val="000000" w:themeColor="text1"/>
          <w:lang w:val="en-US"/>
        </w:rPr>
        <w:t>maximize</w:t>
      </w:r>
      <w:r w:rsidR="00106054" w:rsidRPr="00541E47">
        <w:rPr>
          <w:color w:val="000000" w:themeColor="text1"/>
          <w:lang w:val="en-US"/>
        </w:rPr>
        <w:t xml:space="preserve"> </w:t>
      </w:r>
      <w:r w:rsidR="00DC6812" w:rsidRPr="00541E47">
        <w:rPr>
          <w:color w:val="000000" w:themeColor="text1"/>
          <w:lang w:val="en-US"/>
        </w:rPr>
        <w:t xml:space="preserve">the utility from </w:t>
      </w:r>
      <w:r w:rsidR="00106054" w:rsidRPr="00541E47">
        <w:rPr>
          <w:color w:val="000000" w:themeColor="text1"/>
          <w:lang w:val="en-US"/>
        </w:rPr>
        <w:t xml:space="preserve">consumption subject to relative supply prices.  </w:t>
      </w:r>
    </w:p>
    <w:p w:rsidR="00106054" w:rsidRPr="00541E47" w:rsidRDefault="00106054" w:rsidP="000115EF">
      <w:pPr>
        <w:jc w:val="both"/>
        <w:rPr>
          <w:color w:val="000000" w:themeColor="text1"/>
          <w:lang w:val="en-US"/>
        </w:rPr>
      </w:pPr>
    </w:p>
    <w:p w:rsidR="006C1A07" w:rsidRPr="00541E47" w:rsidRDefault="00106054" w:rsidP="000115EF">
      <w:pPr>
        <w:jc w:val="both"/>
        <w:rPr>
          <w:color w:val="000000" w:themeColor="text1"/>
          <w:lang w:val="en-US"/>
        </w:rPr>
      </w:pPr>
      <w:r w:rsidRPr="00541E47">
        <w:rPr>
          <w:color w:val="000000" w:themeColor="text1"/>
          <w:lang w:val="en-US"/>
        </w:rPr>
        <w:t>Substitution</w:t>
      </w:r>
      <w:r w:rsidR="00630BD9" w:rsidRPr="00541E47">
        <w:rPr>
          <w:color w:val="000000" w:themeColor="text1"/>
          <w:lang w:val="en-US"/>
        </w:rPr>
        <w:t>s</w:t>
      </w:r>
      <w:r w:rsidRPr="00541E47">
        <w:rPr>
          <w:color w:val="000000" w:themeColor="text1"/>
          <w:lang w:val="en-US"/>
        </w:rPr>
        <w:t xml:space="preserve"> between </w:t>
      </w:r>
      <w:r w:rsidR="00630BD9" w:rsidRPr="00541E47">
        <w:rPr>
          <w:color w:val="000000" w:themeColor="text1"/>
          <w:lang w:val="en-US"/>
        </w:rPr>
        <w:t xml:space="preserve">domestic and foreign market </w:t>
      </w:r>
      <w:r w:rsidR="001A026A" w:rsidRPr="00541E47">
        <w:rPr>
          <w:color w:val="000000" w:themeColor="text1"/>
          <w:lang w:val="en-US"/>
        </w:rPr>
        <w:t>production are</w:t>
      </w:r>
      <w:r w:rsidR="00630BD9" w:rsidRPr="00541E47">
        <w:rPr>
          <w:color w:val="000000" w:themeColor="text1"/>
          <w:lang w:val="en-US"/>
        </w:rPr>
        <w:t xml:space="preserve"> possible</w:t>
      </w:r>
      <w:r w:rsidRPr="00541E47">
        <w:rPr>
          <w:color w:val="000000" w:themeColor="text1"/>
          <w:lang w:val="en-US"/>
        </w:rPr>
        <w:t xml:space="preserve">. </w:t>
      </w:r>
      <w:r w:rsidR="00DC6812" w:rsidRPr="00541E47">
        <w:rPr>
          <w:color w:val="000000" w:themeColor="text1"/>
          <w:lang w:val="en-US"/>
        </w:rPr>
        <w:t xml:space="preserve">The producer’s </w:t>
      </w:r>
      <w:r w:rsidR="001A026A" w:rsidRPr="00541E47">
        <w:rPr>
          <w:color w:val="000000" w:themeColor="text1"/>
          <w:lang w:val="en-US"/>
        </w:rPr>
        <w:t>decision is</w:t>
      </w:r>
      <w:r w:rsidRPr="00541E47">
        <w:rPr>
          <w:color w:val="000000" w:themeColor="text1"/>
          <w:lang w:val="en-US"/>
        </w:rPr>
        <w:t xml:space="preserve"> </w:t>
      </w:r>
      <w:r w:rsidR="00AA31FA" w:rsidRPr="00541E47">
        <w:rPr>
          <w:color w:val="000000" w:themeColor="text1"/>
          <w:lang w:val="en-US"/>
        </w:rPr>
        <w:t xml:space="preserve">dictated </w:t>
      </w:r>
      <w:r w:rsidRPr="00541E47">
        <w:rPr>
          <w:color w:val="000000" w:themeColor="text1"/>
          <w:lang w:val="en-US"/>
        </w:rPr>
        <w:t xml:space="preserve">by a constant elasticity of transformation (CET) function, which distinguishes between exported and domestic goods, and by doing so, captures any </w:t>
      </w:r>
      <w:r w:rsidR="00630BD9" w:rsidRPr="00541E47">
        <w:rPr>
          <w:color w:val="000000" w:themeColor="text1"/>
          <w:lang w:val="en-US"/>
        </w:rPr>
        <w:t xml:space="preserve">differences in </w:t>
      </w:r>
      <w:r w:rsidRPr="00541E47">
        <w:rPr>
          <w:color w:val="000000" w:themeColor="text1"/>
          <w:lang w:val="en-US"/>
        </w:rPr>
        <w:t xml:space="preserve">time or quality between the two products. Profit maximization drives producers to sell in those markets where they can achieve the highest </w:t>
      </w:r>
      <w:r w:rsidR="00DC6812" w:rsidRPr="00541E47">
        <w:rPr>
          <w:color w:val="000000" w:themeColor="text1"/>
          <w:lang w:val="en-US"/>
        </w:rPr>
        <w:t xml:space="preserve">net </w:t>
      </w:r>
      <w:r w:rsidRPr="00541E47">
        <w:rPr>
          <w:color w:val="000000" w:themeColor="text1"/>
          <w:lang w:val="en-US"/>
        </w:rPr>
        <w:t xml:space="preserve">returns. These returns are based on domestic and export prices (where the latter </w:t>
      </w:r>
      <w:r w:rsidR="00630BD9" w:rsidRPr="00541E47">
        <w:rPr>
          <w:color w:val="000000" w:themeColor="text1"/>
          <w:lang w:val="en-US"/>
        </w:rPr>
        <w:t xml:space="preserve">are </w:t>
      </w:r>
      <w:r w:rsidRPr="00541E47">
        <w:rPr>
          <w:color w:val="000000" w:themeColor="text1"/>
          <w:lang w:val="en-US"/>
        </w:rPr>
        <w:t>determined by the world price times the exchange rate</w:t>
      </w:r>
      <w:r w:rsidR="00DC6812" w:rsidRPr="00541E47">
        <w:rPr>
          <w:color w:val="000000" w:themeColor="text1"/>
          <w:lang w:val="en-US"/>
        </w:rPr>
        <w:t xml:space="preserve"> and are</w:t>
      </w:r>
      <w:r w:rsidRPr="00541E47">
        <w:rPr>
          <w:color w:val="000000" w:themeColor="text1"/>
          <w:lang w:val="en-US"/>
        </w:rPr>
        <w:t xml:space="preserve"> adjusted for any taxes). </w:t>
      </w:r>
    </w:p>
    <w:p w:rsidR="00067BCB" w:rsidRPr="00541E47" w:rsidRDefault="009B3CC4" w:rsidP="000115EF">
      <w:pPr>
        <w:jc w:val="both"/>
        <w:rPr>
          <w:color w:val="000000" w:themeColor="text1"/>
          <w:lang w:val="en-US"/>
        </w:rPr>
      </w:pPr>
      <w:r w:rsidRPr="00541E47">
        <w:rPr>
          <w:color w:val="000000" w:themeColor="text1"/>
          <w:lang w:val="en-US"/>
        </w:rPr>
        <w:t xml:space="preserve">The final ratio of exports to </w:t>
      </w:r>
      <w:r w:rsidR="000A1F08" w:rsidRPr="00541E47">
        <w:rPr>
          <w:color w:val="000000" w:themeColor="text1"/>
          <w:lang w:val="en-US"/>
        </w:rPr>
        <w:t xml:space="preserve">the consumption of </w:t>
      </w:r>
      <w:r w:rsidRPr="00541E47">
        <w:rPr>
          <w:color w:val="000000" w:themeColor="text1"/>
          <w:lang w:val="en-US"/>
        </w:rPr>
        <w:t xml:space="preserve">domestic goods is determined by the endogenous interaction of relative prices for these two commodity types. </w:t>
      </w:r>
    </w:p>
    <w:p w:rsidR="009B3CC4" w:rsidRPr="00541E47" w:rsidRDefault="009B3CC4" w:rsidP="000115EF">
      <w:pPr>
        <w:jc w:val="both"/>
        <w:rPr>
          <w:color w:val="000000" w:themeColor="text1"/>
          <w:lang w:val="en-US"/>
        </w:rPr>
      </w:pPr>
      <w:r w:rsidRPr="00541E47">
        <w:rPr>
          <w:color w:val="000000" w:themeColor="text1"/>
          <w:lang w:val="en-US"/>
        </w:rPr>
        <w:t xml:space="preserve">   </w:t>
      </w:r>
    </w:p>
    <w:p w:rsidR="00106054" w:rsidRPr="00541E47" w:rsidRDefault="00106054" w:rsidP="000115EF">
      <w:pPr>
        <w:jc w:val="both"/>
        <w:rPr>
          <w:color w:val="000000" w:themeColor="text1"/>
          <w:lang w:val="en-US"/>
        </w:rPr>
      </w:pPr>
      <w:r w:rsidRPr="00541E47">
        <w:rPr>
          <w:color w:val="000000" w:themeColor="text1"/>
          <w:lang w:val="en-US"/>
        </w:rPr>
        <w:t>Domestically produced commodities that are not exported are supplied to the domestic market. Substitution</w:t>
      </w:r>
      <w:r w:rsidR="001476F0" w:rsidRPr="00541E47">
        <w:rPr>
          <w:color w:val="000000" w:themeColor="text1"/>
          <w:lang w:val="en-US"/>
        </w:rPr>
        <w:t>s</w:t>
      </w:r>
      <w:r w:rsidRPr="00541E47">
        <w:rPr>
          <w:color w:val="000000" w:themeColor="text1"/>
          <w:lang w:val="en-US"/>
        </w:rPr>
        <w:t xml:space="preserve"> between imported and domestic goods </w:t>
      </w:r>
      <w:r w:rsidR="001476F0" w:rsidRPr="00541E47">
        <w:rPr>
          <w:color w:val="000000" w:themeColor="text1"/>
          <w:lang w:val="en-US"/>
        </w:rPr>
        <w:t xml:space="preserve">are possible with </w:t>
      </w:r>
      <w:r w:rsidRPr="00541E47">
        <w:rPr>
          <w:color w:val="000000" w:themeColor="text1"/>
          <w:lang w:val="en-US"/>
        </w:rPr>
        <w:t xml:space="preserve">a CES Armington specification (Armington, 1969). Such substitution can </w:t>
      </w:r>
      <w:r w:rsidR="00D77306" w:rsidRPr="00541E47">
        <w:rPr>
          <w:color w:val="000000" w:themeColor="text1"/>
          <w:lang w:val="en-US"/>
        </w:rPr>
        <w:t>be performed</w:t>
      </w:r>
      <w:r w:rsidRPr="00541E47">
        <w:rPr>
          <w:color w:val="000000" w:themeColor="text1"/>
          <w:lang w:val="en-US"/>
        </w:rPr>
        <w:t xml:space="preserve"> both in final and intermediates usage. </w:t>
      </w:r>
      <w:r w:rsidR="009B3CC4" w:rsidRPr="00541E47">
        <w:rPr>
          <w:color w:val="000000" w:themeColor="text1"/>
          <w:lang w:val="en-US"/>
        </w:rPr>
        <w:t>U</w:t>
      </w:r>
      <w:r w:rsidRPr="00541E47">
        <w:rPr>
          <w:color w:val="000000" w:themeColor="text1"/>
          <w:lang w:val="en-US"/>
        </w:rPr>
        <w:t>nder the small country assumption, S</w:t>
      </w:r>
      <w:r w:rsidR="00232648" w:rsidRPr="00541E47">
        <w:rPr>
          <w:color w:val="000000" w:themeColor="text1"/>
          <w:lang w:val="en-US"/>
        </w:rPr>
        <w:t>enegal</w:t>
      </w:r>
      <w:r w:rsidRPr="00541E47">
        <w:rPr>
          <w:color w:val="000000" w:themeColor="text1"/>
          <w:lang w:val="en-US"/>
        </w:rPr>
        <w:t xml:space="preserve"> is assumed to face </w:t>
      </w:r>
      <w:r w:rsidR="00700CE1" w:rsidRPr="00541E47">
        <w:rPr>
          <w:color w:val="000000" w:themeColor="text1"/>
          <w:lang w:val="en-US"/>
        </w:rPr>
        <w:t xml:space="preserve">an </w:t>
      </w:r>
      <w:r w:rsidRPr="00541E47">
        <w:rPr>
          <w:color w:val="000000" w:themeColor="text1"/>
          <w:lang w:val="en-US"/>
        </w:rPr>
        <w:t xml:space="preserve">infinitely elastic </w:t>
      </w:r>
      <w:r w:rsidR="00700CE1" w:rsidRPr="00541E47">
        <w:rPr>
          <w:color w:val="000000" w:themeColor="text1"/>
          <w:lang w:val="en-US"/>
        </w:rPr>
        <w:t xml:space="preserve">global </w:t>
      </w:r>
      <w:r w:rsidRPr="00541E47">
        <w:rPr>
          <w:color w:val="000000" w:themeColor="text1"/>
          <w:lang w:val="en-US"/>
        </w:rPr>
        <w:t xml:space="preserve">supply at fixed </w:t>
      </w:r>
      <w:r w:rsidR="00700CE1" w:rsidRPr="00541E47">
        <w:rPr>
          <w:color w:val="000000" w:themeColor="text1"/>
          <w:lang w:val="en-US"/>
        </w:rPr>
        <w:t xml:space="preserve">global </w:t>
      </w:r>
      <w:r w:rsidRPr="00541E47">
        <w:rPr>
          <w:color w:val="000000" w:themeColor="text1"/>
          <w:lang w:val="en-US"/>
        </w:rPr>
        <w:t xml:space="preserve">prices. The final ratio of imports to domestic goods is determined by the cost </w:t>
      </w:r>
      <w:r w:rsidR="001476F0" w:rsidRPr="00541E47">
        <w:rPr>
          <w:color w:val="000000" w:themeColor="text1"/>
          <w:lang w:val="en-US"/>
        </w:rPr>
        <w:t xml:space="preserve">of </w:t>
      </w:r>
      <w:r w:rsidRPr="00541E47">
        <w:rPr>
          <w:color w:val="000000" w:themeColor="text1"/>
          <w:lang w:val="en-US"/>
        </w:rPr>
        <w:t xml:space="preserve">minimizing decision-making of domestic </w:t>
      </w:r>
      <w:r w:rsidR="00700CE1" w:rsidRPr="00541E47">
        <w:rPr>
          <w:color w:val="000000" w:themeColor="text1"/>
          <w:lang w:val="en-US"/>
        </w:rPr>
        <w:t xml:space="preserve">consumers </w:t>
      </w:r>
      <w:r w:rsidRPr="00541E47">
        <w:rPr>
          <w:color w:val="000000" w:themeColor="text1"/>
          <w:lang w:val="en-US"/>
        </w:rPr>
        <w:t xml:space="preserve">based on the relative prices of imports and domestic goods (both of which include relevant taxes). </w:t>
      </w:r>
    </w:p>
    <w:p w:rsidR="00F60831" w:rsidRPr="00541E47" w:rsidRDefault="00F60831"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C52CCA" w:rsidRDefault="00C52CCA" w:rsidP="000115EF">
      <w:pPr>
        <w:pBdr>
          <w:bottom w:val="single" w:sz="6" w:space="1" w:color="auto"/>
        </w:pBdr>
        <w:jc w:val="both"/>
        <w:rPr>
          <w:color w:val="000000" w:themeColor="text1"/>
          <w:lang w:val="en-US"/>
        </w:rPr>
      </w:pPr>
    </w:p>
    <w:p w:rsidR="00106054" w:rsidRPr="00541E47" w:rsidRDefault="009875E2" w:rsidP="000115EF">
      <w:pPr>
        <w:pBdr>
          <w:bottom w:val="single" w:sz="6" w:space="1" w:color="auto"/>
        </w:pBdr>
        <w:jc w:val="both"/>
        <w:rPr>
          <w:color w:val="000000" w:themeColor="text1"/>
          <w:vertAlign w:val="superscript"/>
          <w:lang w:val="en-US"/>
        </w:rPr>
      </w:pPr>
      <w:r w:rsidRPr="00541E47">
        <w:rPr>
          <w:color w:val="000000" w:themeColor="text1"/>
          <w:lang w:val="en-US"/>
        </w:rPr>
        <w:lastRenderedPageBreak/>
        <w:t xml:space="preserve">Graph </w:t>
      </w:r>
      <w:r w:rsidR="00106054" w:rsidRPr="00541E47">
        <w:rPr>
          <w:color w:val="000000" w:themeColor="text1"/>
          <w:lang w:val="en-US"/>
        </w:rPr>
        <w:t>2</w:t>
      </w:r>
      <w:r w:rsidR="00106054" w:rsidRPr="00541E47">
        <w:rPr>
          <w:bCs/>
          <w:color w:val="000000" w:themeColor="text1"/>
          <w:lang w:val="en-US"/>
        </w:rPr>
        <w:t>: Commodity Flows</w:t>
      </w:r>
      <w:r w:rsidR="00106054" w:rsidRPr="00541E47">
        <w:rPr>
          <w:bCs/>
          <w:color w:val="000000" w:themeColor="text1"/>
          <w:vertAlign w:val="superscript"/>
          <w:lang w:val="en-US"/>
        </w:rPr>
        <w:t>1</w:t>
      </w:r>
    </w:p>
    <w:p w:rsidR="00106054" w:rsidRPr="00541E47" w:rsidRDefault="00C96721" w:rsidP="000115EF">
      <w:pPr>
        <w:jc w:val="both"/>
        <w:rPr>
          <w:color w:val="000000" w:themeColor="text1"/>
          <w:lang w:val="en-US"/>
        </w:rPr>
      </w:pPr>
      <w:r w:rsidRPr="00C96721">
        <w:rPr>
          <w:noProof/>
          <w:color w:val="000000" w:themeColor="text1"/>
          <w:lang w:val="en-US"/>
        </w:rPr>
        <w:pict>
          <v:shape id="_x0000_s1042" type="#_x0000_t202" style="position:absolute;left:0;text-align:left;margin-left:189pt;margin-top:3.6pt;width:99pt;height:36pt;z-index:251612160">
            <v:textbox style="mso-next-textbox:#_x0000_s1042">
              <w:txbxContent>
                <w:p w:rsidR="004E0C38" w:rsidRDefault="004E0C38">
                  <w:pPr>
                    <w:pStyle w:val="Notedebasdepage"/>
                    <w:jc w:val="center"/>
                    <w:rPr>
                      <w:szCs w:val="24"/>
                    </w:rPr>
                  </w:pPr>
                  <w:r>
                    <w:rPr>
                      <w:szCs w:val="24"/>
                    </w:rPr>
                    <w:t>Aggregate Commodity Output</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line id="_x0000_s1048" style="position:absolute;left:0;text-align:left;z-index:251618304" from="234pt,12pt" to="234pt,111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47" style="position:absolute;left:0;text-align:left;z-index:251617280" from="108pt,7.2pt" to="108pt,16.1pt">
            <v:stroke endarrow="block"/>
          </v:line>
        </w:pict>
      </w:r>
      <w:r w:rsidRPr="00C96721">
        <w:rPr>
          <w:noProof/>
          <w:color w:val="000000" w:themeColor="text1"/>
          <w:lang w:val="en-US"/>
        </w:rPr>
        <w:pict>
          <v:shape id="_x0000_s1054" type="#_x0000_t202" style="position:absolute;left:0;text-align:left;margin-left:198pt;margin-top:7.2pt;width:36pt;height:18pt;z-index:251624448" filled="f" stroked="f">
            <v:textbox style="mso-next-textbox:#_x0000_s1054">
              <w:txbxContent>
                <w:p w:rsidR="004E0C38" w:rsidRDefault="004E0C38">
                  <w:pPr>
                    <w:pStyle w:val="Notedebasdepage"/>
                    <w:jc w:val="center"/>
                    <w:rPr>
                      <w:szCs w:val="24"/>
                    </w:rPr>
                  </w:pPr>
                  <w:r>
                    <w:rPr>
                      <w:szCs w:val="24"/>
                    </w:rPr>
                    <w:t>CET</w:t>
                  </w:r>
                </w:p>
              </w:txbxContent>
            </v:textbox>
          </v:shape>
        </w:pict>
      </w:r>
      <w:r w:rsidRPr="00C96721">
        <w:rPr>
          <w:noProof/>
          <w:color w:val="000000" w:themeColor="text1"/>
          <w:lang w:val="en-US"/>
        </w:rPr>
        <w:pict>
          <v:line id="_x0000_s1049" style="position:absolute;left:0;text-align:left;z-index:251619328" from="108pt,7.2pt" to="234pt,7.2pt"/>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43" type="#_x0000_t202" style="position:absolute;left:0;text-align:left;margin-left:45pt;margin-top:2.4pt;width:117pt;height:27pt;z-index:251613184">
            <v:textbox style="mso-next-textbox:#_x0000_s1043">
              <w:txbxContent>
                <w:p w:rsidR="004E0C38" w:rsidRDefault="004E0C38">
                  <w:pPr>
                    <w:pStyle w:val="Notedebasdepage"/>
                    <w:jc w:val="center"/>
                    <w:rPr>
                      <w:szCs w:val="24"/>
                    </w:rPr>
                  </w:pPr>
                  <w:r>
                    <w:rPr>
                      <w:szCs w:val="24"/>
                    </w:rPr>
                    <w:t>Aggregate Exports</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45" type="#_x0000_t202" style="position:absolute;left:0;text-align:left;margin-left:306pt;margin-top:6pt;width:116.1pt;height:27pt;z-index:251615232">
            <v:textbox style="mso-next-textbox:#_x0000_s1045">
              <w:txbxContent>
                <w:p w:rsidR="004E0C38" w:rsidRDefault="004E0C38">
                  <w:pPr>
                    <w:pStyle w:val="Notedebasdepage"/>
                    <w:jc w:val="center"/>
                    <w:rPr>
                      <w:szCs w:val="24"/>
                    </w:rPr>
                  </w:pPr>
                  <w:r>
                    <w:rPr>
                      <w:szCs w:val="24"/>
                    </w:rPr>
                    <w:t>Aggregate Imports</w:t>
                  </w:r>
                </w:p>
                <w:p w:rsidR="004E0C38" w:rsidRDefault="004E0C38">
                  <w:pPr>
                    <w:pStyle w:val="Notedebasdepage"/>
                    <w:rPr>
                      <w:szCs w:val="24"/>
                    </w:rPr>
                  </w:pPr>
                </w:p>
                <w:p w:rsidR="004E0C38" w:rsidRDefault="004E0C38">
                  <w:r>
                    <w:t xml:space="preserve"> </w:t>
                  </w:r>
                </w:p>
              </w:txbxContent>
            </v:textbox>
          </v:shape>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line id="_x0000_s1052" style="position:absolute;left:0;text-align:left;z-index:251622400" from="5in,5.4pt" to="5in,59.4pt"/>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44" type="#_x0000_t202" style="position:absolute;left:0;text-align:left;margin-left:189pt;margin-top:.6pt;width:99pt;height:27pt;z-index:251614208">
            <v:textbox style="mso-next-textbox:#_x0000_s1044">
              <w:txbxContent>
                <w:p w:rsidR="004E0C38" w:rsidRDefault="004E0C38">
                  <w:pPr>
                    <w:pStyle w:val="Notedebasdepage"/>
                    <w:jc w:val="center"/>
                    <w:rPr>
                      <w:szCs w:val="24"/>
                    </w:rPr>
                  </w:pPr>
                  <w:r>
                    <w:rPr>
                      <w:szCs w:val="24"/>
                    </w:rPr>
                    <w:t>Domestic Sales</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50" style="position:absolute;left:0;text-align:left;z-index:251620352" from="234pt,13.8pt" to="234pt,43.55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55" type="#_x0000_t202" style="position:absolute;left:0;text-align:left;margin-left:234pt;margin-top:0;width:36pt;height:18pt;z-index:251625472" filled="f" stroked="f">
            <v:textbox style="mso-next-textbox:#_x0000_s1055">
              <w:txbxContent>
                <w:p w:rsidR="004E0C38" w:rsidRDefault="004E0C38">
                  <w:pPr>
                    <w:pStyle w:val="Notedebasdepage"/>
                    <w:jc w:val="center"/>
                    <w:rPr>
                      <w:szCs w:val="24"/>
                    </w:rPr>
                  </w:pPr>
                  <w:r>
                    <w:rPr>
                      <w:szCs w:val="24"/>
                    </w:rPr>
                    <w:t>CES</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51" style="position:absolute;left:0;text-align:left;z-index:251621376" from="234.35pt,4.2pt" to="5in,4.2pt"/>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46" type="#_x0000_t202" style="position:absolute;left:0;text-align:left;margin-left:189pt;margin-top:2.15pt;width:99pt;height:36pt;z-index:251616256">
            <v:textbox style="mso-next-textbox:#_x0000_s1046">
              <w:txbxContent>
                <w:p w:rsidR="004E0C38" w:rsidRDefault="004E0C38">
                  <w:pPr>
                    <w:pStyle w:val="Notedebasdepage"/>
                    <w:jc w:val="center"/>
                    <w:rPr>
                      <w:szCs w:val="24"/>
                    </w:rPr>
                  </w:pPr>
                  <w:r>
                    <w:rPr>
                      <w:szCs w:val="24"/>
                    </w:rPr>
                    <w:t>Composite Commodity</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line id="_x0000_s1108" style="position:absolute;left:0;text-align:left;z-index:251679744" from="234pt,10.55pt" to="234pt,46.55pt">
            <v:stroke endarrow="block"/>
          </v:line>
        </w:pict>
      </w: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53" type="#_x0000_t202" style="position:absolute;left:0;text-align:left;margin-left:171pt;margin-top:5.15pt;width:135pt;height:94.8pt;z-index:251623424">
            <v:textbox style="mso-next-textbox:#_x0000_s1053">
              <w:txbxContent>
                <w:p w:rsidR="004E0C38" w:rsidRDefault="004E0C38">
                  <w:pPr>
                    <w:pStyle w:val="Notedebasdepage"/>
                    <w:jc w:val="center"/>
                  </w:pPr>
                  <w:r>
                    <w:rPr>
                      <w:szCs w:val="24"/>
                    </w:rPr>
                    <w:t xml:space="preserve">Household </w:t>
                  </w:r>
                  <w:r>
                    <w:t>Consumption</w:t>
                  </w:r>
                </w:p>
                <w:p w:rsidR="004E0C38" w:rsidRDefault="004E0C38">
                  <w:pPr>
                    <w:jc w:val="center"/>
                    <w:rPr>
                      <w:sz w:val="20"/>
                    </w:rPr>
                  </w:pPr>
                  <w:r>
                    <w:rPr>
                      <w:sz w:val="20"/>
                    </w:rPr>
                    <w:t>+</w:t>
                  </w:r>
                </w:p>
                <w:p w:rsidR="004E0C38" w:rsidRDefault="004E0C38">
                  <w:pPr>
                    <w:jc w:val="center"/>
                    <w:rPr>
                      <w:sz w:val="20"/>
                    </w:rPr>
                  </w:pPr>
                  <w:r>
                    <w:rPr>
                      <w:sz w:val="20"/>
                    </w:rPr>
                    <w:t>Government Consumption</w:t>
                  </w:r>
                </w:p>
                <w:p w:rsidR="004E0C38" w:rsidRDefault="004E0C38">
                  <w:pPr>
                    <w:jc w:val="center"/>
                    <w:rPr>
                      <w:sz w:val="20"/>
                    </w:rPr>
                  </w:pPr>
                  <w:r>
                    <w:rPr>
                      <w:sz w:val="20"/>
                    </w:rPr>
                    <w:t>+</w:t>
                  </w:r>
                </w:p>
                <w:p w:rsidR="004E0C38" w:rsidRDefault="004E0C38">
                  <w:pPr>
                    <w:jc w:val="center"/>
                    <w:rPr>
                      <w:sz w:val="20"/>
                    </w:rPr>
                  </w:pPr>
                  <w:r>
                    <w:rPr>
                      <w:sz w:val="20"/>
                    </w:rPr>
                    <w:t xml:space="preserve">Investment </w:t>
                  </w:r>
                </w:p>
                <w:p w:rsidR="004E0C38" w:rsidRDefault="004E0C38">
                  <w:pPr>
                    <w:jc w:val="center"/>
                    <w:rPr>
                      <w:sz w:val="20"/>
                    </w:rPr>
                  </w:pPr>
                  <w:r>
                    <w:rPr>
                      <w:sz w:val="20"/>
                    </w:rPr>
                    <w:t>+</w:t>
                  </w:r>
                </w:p>
                <w:p w:rsidR="004E0C38" w:rsidRDefault="004E0C38">
                  <w:pPr>
                    <w:jc w:val="center"/>
                    <w:rPr>
                      <w:sz w:val="20"/>
                    </w:rPr>
                  </w:pPr>
                  <w:r w:rsidRPr="00F01200">
                    <w:rPr>
                      <w:sz w:val="20"/>
                    </w:rPr>
                    <w:t>Intermediate Use</w:t>
                  </w:r>
                </w:p>
              </w:txbxContent>
            </v:textbox>
          </v:shape>
        </w:pict>
      </w: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p>
    <w:p w:rsidR="00106054" w:rsidRPr="00541E47" w:rsidRDefault="00106054" w:rsidP="000115EF">
      <w:pPr>
        <w:pBdr>
          <w:bottom w:val="single" w:sz="6" w:space="1" w:color="auto"/>
        </w:pBdr>
        <w:jc w:val="both"/>
        <w:rPr>
          <w:color w:val="000000" w:themeColor="text1"/>
          <w:lang w:val="en-US"/>
        </w:rPr>
      </w:pPr>
    </w:p>
    <w:p w:rsidR="00106054" w:rsidRPr="00541E47" w:rsidRDefault="00106054" w:rsidP="000115EF">
      <w:pPr>
        <w:jc w:val="both"/>
        <w:rPr>
          <w:color w:val="000000" w:themeColor="text1"/>
          <w:sz w:val="20"/>
          <w:szCs w:val="20"/>
          <w:lang w:val="en-US"/>
        </w:rPr>
      </w:pPr>
      <w:r w:rsidRPr="00541E47">
        <w:rPr>
          <w:color w:val="000000" w:themeColor="text1"/>
          <w:sz w:val="20"/>
          <w:szCs w:val="20"/>
          <w:lang w:val="en-US"/>
        </w:rPr>
        <w:t>1 ‘CES’ is a constant elasticity of substitution aggregation function. ‘CET’ is constant elasticity of transformation function.</w:t>
      </w:r>
    </w:p>
    <w:p w:rsidR="00BA1111" w:rsidRPr="00541E47" w:rsidRDefault="00BA1111" w:rsidP="000115EF">
      <w:pPr>
        <w:jc w:val="both"/>
        <w:rPr>
          <w:color w:val="000000" w:themeColor="text1"/>
          <w:sz w:val="20"/>
          <w:szCs w:val="20"/>
          <w:lang w:val="en-US"/>
        </w:rPr>
      </w:pPr>
    </w:p>
    <w:p w:rsidR="00106054" w:rsidRPr="00541E47" w:rsidRDefault="00106054" w:rsidP="000115EF">
      <w:pPr>
        <w:jc w:val="both"/>
        <w:rPr>
          <w:color w:val="000000" w:themeColor="text1"/>
          <w:lang w:val="en-US"/>
        </w:rPr>
      </w:pPr>
      <w:r w:rsidRPr="00541E47">
        <w:rPr>
          <w:color w:val="000000" w:themeColor="text1"/>
          <w:lang w:val="en-US"/>
        </w:rPr>
        <w:t xml:space="preserve">The final composite good, containing a combination of imported and domestic goods, is supplied to both final and intermediate demand. Intermediate demand, as described above, is determined by technology and by the composition of </w:t>
      </w:r>
      <w:r w:rsidR="002B5FA0" w:rsidRPr="00541E47">
        <w:rPr>
          <w:color w:val="000000" w:themeColor="text1"/>
        </w:rPr>
        <w:t>sectorial</w:t>
      </w:r>
      <w:r w:rsidRPr="00541E47">
        <w:rPr>
          <w:color w:val="000000" w:themeColor="text1"/>
        </w:rPr>
        <w:t xml:space="preserve"> </w:t>
      </w:r>
      <w:r w:rsidRPr="00541E47">
        <w:rPr>
          <w:color w:val="000000" w:themeColor="text1"/>
          <w:lang w:val="en-US"/>
        </w:rPr>
        <w:t xml:space="preserve">production. Final demand is </w:t>
      </w:r>
      <w:r w:rsidR="005D21C1" w:rsidRPr="00541E47">
        <w:rPr>
          <w:color w:val="000000" w:themeColor="text1"/>
          <w:lang w:val="en-US"/>
        </w:rPr>
        <w:t>contingent to</w:t>
      </w:r>
      <w:r w:rsidRPr="00541E47">
        <w:rPr>
          <w:color w:val="000000" w:themeColor="text1"/>
          <w:lang w:val="en-US"/>
        </w:rPr>
        <w:t xml:space="preserve"> institutional incomes and the composition of aggregate demand.</w:t>
      </w:r>
    </w:p>
    <w:p w:rsidR="00106054" w:rsidRPr="00541E47" w:rsidRDefault="00106054" w:rsidP="000115EF">
      <w:pPr>
        <w:jc w:val="both"/>
        <w:rPr>
          <w:color w:val="000000" w:themeColor="text1"/>
          <w:lang w:val="en-US"/>
        </w:rPr>
      </w:pPr>
    </w:p>
    <w:p w:rsidR="00106054" w:rsidRPr="00541E47" w:rsidRDefault="00106054" w:rsidP="000115EF">
      <w:pPr>
        <w:pStyle w:val="Titre3"/>
        <w:spacing w:line="240" w:lineRule="auto"/>
        <w:jc w:val="both"/>
        <w:rPr>
          <w:rFonts w:cs="Times New Roman"/>
          <w:color w:val="000000" w:themeColor="text1"/>
          <w:lang w:val="en-US"/>
        </w:rPr>
      </w:pPr>
      <w:bookmarkStart w:id="4" w:name="_Toc189443941"/>
      <w:r w:rsidRPr="00541E47">
        <w:rPr>
          <w:rFonts w:cs="Times New Roman"/>
          <w:color w:val="000000" w:themeColor="text1"/>
          <w:lang w:val="en-US"/>
        </w:rPr>
        <w:t>Institutional Incomes and Domestic Demand</w:t>
      </w:r>
      <w:bookmarkEnd w:id="4"/>
    </w:p>
    <w:p w:rsidR="00106054" w:rsidRPr="00541E47" w:rsidRDefault="00106054" w:rsidP="000115EF">
      <w:pPr>
        <w:jc w:val="both"/>
        <w:rPr>
          <w:color w:val="000000" w:themeColor="text1"/>
          <w:lang w:val="en-US"/>
        </w:rPr>
      </w:pPr>
      <w:r w:rsidRPr="00541E47">
        <w:rPr>
          <w:color w:val="000000" w:themeColor="text1"/>
          <w:lang w:val="en-US"/>
        </w:rPr>
        <w:t>The model distinguishes between various institutions within the S</w:t>
      </w:r>
      <w:r w:rsidR="00F03E7D" w:rsidRPr="00541E47">
        <w:rPr>
          <w:color w:val="000000" w:themeColor="text1"/>
          <w:lang w:val="en-US"/>
        </w:rPr>
        <w:t xml:space="preserve">enegalese </w:t>
      </w:r>
      <w:r w:rsidRPr="00541E47">
        <w:rPr>
          <w:color w:val="000000" w:themeColor="text1"/>
          <w:lang w:val="en-US"/>
        </w:rPr>
        <w:t xml:space="preserve">economy, including </w:t>
      </w:r>
      <w:r w:rsidR="00DA0A9A" w:rsidRPr="00541E47">
        <w:rPr>
          <w:color w:val="000000" w:themeColor="text1"/>
          <w:lang w:val="en-US"/>
        </w:rPr>
        <w:t>companies</w:t>
      </w:r>
      <w:r w:rsidRPr="00541E47">
        <w:rPr>
          <w:color w:val="000000" w:themeColor="text1"/>
          <w:lang w:val="en-US"/>
        </w:rPr>
        <w:t xml:space="preserve">, the government, and </w:t>
      </w:r>
      <w:r w:rsidR="00603CF3" w:rsidRPr="00541E47">
        <w:rPr>
          <w:color w:val="000000" w:themeColor="text1"/>
          <w:lang w:val="en-US"/>
        </w:rPr>
        <w:t>8</w:t>
      </w:r>
      <w:r w:rsidR="00F03E7D" w:rsidRPr="00541E47">
        <w:rPr>
          <w:color w:val="000000" w:themeColor="text1"/>
          <w:lang w:val="en-US"/>
        </w:rPr>
        <w:t xml:space="preserve"> </w:t>
      </w:r>
      <w:r w:rsidRPr="00541E47">
        <w:rPr>
          <w:color w:val="000000" w:themeColor="text1"/>
          <w:lang w:val="en-US"/>
        </w:rPr>
        <w:t xml:space="preserve">types of households. The household categories are disaggregated across </w:t>
      </w:r>
      <w:r w:rsidR="00603CF3" w:rsidRPr="00541E47">
        <w:rPr>
          <w:color w:val="000000" w:themeColor="text1"/>
          <w:lang w:val="en-US"/>
        </w:rPr>
        <w:t xml:space="preserve">areas </w:t>
      </w:r>
      <w:r w:rsidR="00F03E7D" w:rsidRPr="00541E47">
        <w:rPr>
          <w:color w:val="000000" w:themeColor="text1"/>
          <w:lang w:val="en-US"/>
        </w:rPr>
        <w:t>(2 urban households for Dakar and th</w:t>
      </w:r>
      <w:r w:rsidR="00603CF3" w:rsidRPr="00541E47">
        <w:rPr>
          <w:color w:val="000000" w:themeColor="text1"/>
          <w:lang w:val="en-US"/>
        </w:rPr>
        <w:t>e</w:t>
      </w:r>
      <w:r w:rsidR="00F03E7D" w:rsidRPr="00541E47">
        <w:rPr>
          <w:color w:val="000000" w:themeColor="text1"/>
          <w:lang w:val="en-US"/>
        </w:rPr>
        <w:t xml:space="preserve"> other cities and 6 rural households following the 6 agro-ecological areas)</w:t>
      </w:r>
      <w:r w:rsidRPr="00541E47">
        <w:rPr>
          <w:color w:val="000000" w:themeColor="text1"/>
          <w:lang w:val="en-US"/>
        </w:rPr>
        <w:t xml:space="preserve">. </w:t>
      </w:r>
      <w:r w:rsidR="00F35358" w:rsidRPr="00541E47">
        <w:rPr>
          <w:color w:val="000000" w:themeColor="text1"/>
          <w:lang w:val="en-US"/>
        </w:rPr>
        <w:t xml:space="preserve">Graph </w:t>
      </w:r>
      <w:r w:rsidRPr="00541E47">
        <w:rPr>
          <w:color w:val="000000" w:themeColor="text1"/>
          <w:lang w:val="en-US"/>
        </w:rPr>
        <w:t>3 summari</w:t>
      </w:r>
      <w:r w:rsidR="00503121" w:rsidRPr="00541E47">
        <w:rPr>
          <w:color w:val="000000" w:themeColor="text1"/>
          <w:lang w:val="en-US"/>
        </w:rPr>
        <w:t>z</w:t>
      </w:r>
      <w:r w:rsidRPr="00541E47">
        <w:rPr>
          <w:color w:val="000000" w:themeColor="text1"/>
          <w:lang w:val="en-US"/>
        </w:rPr>
        <w:t>es the interaction</w:t>
      </w:r>
      <w:r w:rsidR="00DA0A9A" w:rsidRPr="00541E47">
        <w:rPr>
          <w:color w:val="000000" w:themeColor="text1"/>
          <w:lang w:val="en-US"/>
        </w:rPr>
        <w:t>s</w:t>
      </w:r>
      <w:r w:rsidRPr="00541E47">
        <w:rPr>
          <w:color w:val="000000" w:themeColor="text1"/>
          <w:lang w:val="en-US"/>
        </w:rPr>
        <w:t xml:space="preserve"> between institutions in the model. </w:t>
      </w:r>
    </w:p>
    <w:p w:rsidR="00106054" w:rsidRPr="00541E47" w:rsidRDefault="00106054" w:rsidP="000115EF">
      <w:pPr>
        <w:jc w:val="both"/>
        <w:rPr>
          <w:color w:val="000000" w:themeColor="text1"/>
          <w:lang w:val="en-US"/>
        </w:rPr>
      </w:pPr>
      <w:r w:rsidRPr="00541E47">
        <w:rPr>
          <w:color w:val="000000" w:themeColor="text1"/>
          <w:lang w:val="en-US"/>
        </w:rPr>
        <w:t xml:space="preserve">The primary source of income for households and </w:t>
      </w:r>
      <w:r w:rsidR="00F03E7D" w:rsidRPr="00541E47">
        <w:rPr>
          <w:color w:val="000000" w:themeColor="text1"/>
          <w:lang w:val="en-US"/>
        </w:rPr>
        <w:t>firms</w:t>
      </w:r>
      <w:r w:rsidRPr="00541E47">
        <w:rPr>
          <w:color w:val="000000" w:themeColor="text1"/>
          <w:lang w:val="en-US"/>
        </w:rPr>
        <w:t xml:space="preserve"> are factor returns generated during </w:t>
      </w:r>
      <w:r w:rsidR="00603CF3" w:rsidRPr="00541E47">
        <w:rPr>
          <w:color w:val="000000" w:themeColor="text1"/>
          <w:lang w:val="en-US"/>
        </w:rPr>
        <w:t xml:space="preserve">the </w:t>
      </w:r>
      <w:r w:rsidRPr="00541E47">
        <w:rPr>
          <w:color w:val="000000" w:themeColor="text1"/>
          <w:lang w:val="en-US"/>
        </w:rPr>
        <w:t>production</w:t>
      </w:r>
      <w:r w:rsidR="00503121" w:rsidRPr="00541E47">
        <w:rPr>
          <w:color w:val="000000" w:themeColor="text1"/>
          <w:lang w:val="en-US"/>
        </w:rPr>
        <w:t xml:space="preserve"> process</w:t>
      </w:r>
      <w:r w:rsidRPr="00541E47">
        <w:rPr>
          <w:color w:val="000000" w:themeColor="text1"/>
          <w:lang w:val="en-US"/>
        </w:rPr>
        <w:t xml:space="preserve">. The supply of capital is fixed within a given time-period and across sectors, thus implying that capital earns sector-specific returns. </w:t>
      </w:r>
      <w:r w:rsidR="00603CF3" w:rsidRPr="00541E47">
        <w:rPr>
          <w:color w:val="000000" w:themeColor="text1"/>
          <w:lang w:val="en-US"/>
        </w:rPr>
        <w:t>L</w:t>
      </w:r>
      <w:r w:rsidRPr="00541E47">
        <w:rPr>
          <w:color w:val="000000" w:themeColor="text1"/>
          <w:lang w:val="en-US"/>
        </w:rPr>
        <w:t>abor supply is assumed to be perfectly elastic at a given real wage. Final factor income also include</w:t>
      </w:r>
      <w:r w:rsidR="00C62385" w:rsidRPr="00541E47">
        <w:rPr>
          <w:color w:val="000000" w:themeColor="text1"/>
          <w:lang w:val="en-US"/>
        </w:rPr>
        <w:t>s</w:t>
      </w:r>
      <w:r w:rsidRPr="00541E47">
        <w:rPr>
          <w:color w:val="000000" w:themeColor="text1"/>
          <w:lang w:val="en-US"/>
        </w:rPr>
        <w:t xml:space="preserve"> </w:t>
      </w:r>
      <w:r w:rsidR="00F03E7D" w:rsidRPr="00541E47">
        <w:rPr>
          <w:color w:val="000000" w:themeColor="text1"/>
          <w:lang w:val="en-US"/>
        </w:rPr>
        <w:t xml:space="preserve">intra-households </w:t>
      </w:r>
      <w:r w:rsidRPr="00541E47">
        <w:rPr>
          <w:color w:val="000000" w:themeColor="text1"/>
          <w:lang w:val="en-US"/>
        </w:rPr>
        <w:t xml:space="preserve">remittances </w:t>
      </w:r>
      <w:r w:rsidR="00F03E7D" w:rsidRPr="00541E47">
        <w:rPr>
          <w:color w:val="000000" w:themeColor="text1"/>
          <w:lang w:val="en-US"/>
        </w:rPr>
        <w:t xml:space="preserve">and remittances </w:t>
      </w:r>
      <w:r w:rsidRPr="00541E47">
        <w:rPr>
          <w:color w:val="000000" w:themeColor="text1"/>
          <w:lang w:val="en-US"/>
        </w:rPr>
        <w:t xml:space="preserve">received from </w:t>
      </w:r>
      <w:r w:rsidR="00DC6812" w:rsidRPr="00541E47">
        <w:rPr>
          <w:color w:val="000000" w:themeColor="text1"/>
          <w:lang w:val="en-US"/>
        </w:rPr>
        <w:t>(</w:t>
      </w:r>
      <w:r w:rsidRPr="00541E47">
        <w:rPr>
          <w:color w:val="000000" w:themeColor="text1"/>
          <w:lang w:val="en-US"/>
        </w:rPr>
        <w:t xml:space="preserve">and paid </w:t>
      </w:r>
      <w:r w:rsidR="00603CF3" w:rsidRPr="00541E47">
        <w:rPr>
          <w:color w:val="000000" w:themeColor="text1"/>
          <w:lang w:val="en-US"/>
        </w:rPr>
        <w:t>from</w:t>
      </w:r>
      <w:r w:rsidR="00DC6812" w:rsidRPr="00541E47">
        <w:rPr>
          <w:color w:val="000000" w:themeColor="text1"/>
          <w:lang w:val="en-US"/>
        </w:rPr>
        <w:t>)</w:t>
      </w:r>
      <w:r w:rsidR="00603CF3" w:rsidRPr="00541E47">
        <w:rPr>
          <w:color w:val="000000" w:themeColor="text1"/>
          <w:lang w:val="en-US"/>
        </w:rPr>
        <w:t xml:space="preserve"> abroad</w:t>
      </w:r>
      <w:r w:rsidRPr="00541E47">
        <w:rPr>
          <w:color w:val="000000" w:themeColor="text1"/>
          <w:lang w:val="en-US"/>
        </w:rPr>
        <w:t>.</w:t>
      </w:r>
    </w:p>
    <w:p w:rsidR="00106054" w:rsidRPr="00541E47" w:rsidRDefault="00106054" w:rsidP="000115EF">
      <w:pPr>
        <w:jc w:val="both"/>
        <w:rPr>
          <w:color w:val="000000" w:themeColor="text1"/>
          <w:lang w:val="en-US"/>
        </w:rPr>
      </w:pPr>
      <w:r w:rsidRPr="00541E47">
        <w:rPr>
          <w:color w:val="000000" w:themeColor="text1"/>
          <w:lang w:val="en-US"/>
        </w:rPr>
        <w:t xml:space="preserve">Households and </w:t>
      </w:r>
      <w:r w:rsidR="003061FB" w:rsidRPr="00541E47">
        <w:rPr>
          <w:color w:val="000000" w:themeColor="text1"/>
          <w:lang w:val="en-US"/>
        </w:rPr>
        <w:t>companies</w:t>
      </w:r>
      <w:r w:rsidR="00C62385" w:rsidRPr="00541E47">
        <w:rPr>
          <w:color w:val="000000" w:themeColor="text1"/>
          <w:lang w:val="en-US"/>
        </w:rPr>
        <w:t xml:space="preserve"> </w:t>
      </w:r>
      <w:r w:rsidR="001476F0" w:rsidRPr="00541E47">
        <w:rPr>
          <w:color w:val="000000" w:themeColor="text1"/>
          <w:lang w:val="en-US"/>
        </w:rPr>
        <w:t xml:space="preserve">generate </w:t>
      </w:r>
      <w:r w:rsidRPr="00541E47">
        <w:rPr>
          <w:color w:val="000000" w:themeColor="text1"/>
          <w:lang w:val="en-US"/>
        </w:rPr>
        <w:t xml:space="preserve">factor incomes </w:t>
      </w:r>
      <w:r w:rsidR="00C62385" w:rsidRPr="00541E47">
        <w:rPr>
          <w:color w:val="000000" w:themeColor="text1"/>
          <w:lang w:val="en-US"/>
        </w:rPr>
        <w:t>proportional</w:t>
      </w:r>
      <w:r w:rsidRPr="00541E47">
        <w:rPr>
          <w:color w:val="000000" w:themeColor="text1"/>
          <w:lang w:val="en-US"/>
        </w:rPr>
        <w:t xml:space="preserve"> to the implied share </w:t>
      </w:r>
      <w:r w:rsidR="00C62385" w:rsidRPr="00541E47">
        <w:rPr>
          <w:color w:val="000000" w:themeColor="text1"/>
          <w:lang w:val="en-US"/>
        </w:rPr>
        <w:t xml:space="preserve">of each factor stock </w:t>
      </w:r>
      <w:r w:rsidRPr="00541E47">
        <w:rPr>
          <w:color w:val="000000" w:themeColor="text1"/>
          <w:lang w:val="en-US"/>
        </w:rPr>
        <w:t xml:space="preserve">that they control. </w:t>
      </w:r>
      <w:r w:rsidR="003061FB" w:rsidRPr="00541E47">
        <w:rPr>
          <w:color w:val="000000" w:themeColor="text1"/>
          <w:lang w:val="en-US"/>
        </w:rPr>
        <w:t>Companies</w:t>
      </w:r>
      <w:r w:rsidR="00C62385" w:rsidRPr="00541E47">
        <w:rPr>
          <w:color w:val="000000" w:themeColor="text1"/>
          <w:lang w:val="en-US"/>
        </w:rPr>
        <w:t xml:space="preserve"> </w:t>
      </w:r>
      <w:r w:rsidR="001A026A" w:rsidRPr="00541E47">
        <w:rPr>
          <w:color w:val="000000" w:themeColor="text1"/>
          <w:lang w:val="en-US"/>
        </w:rPr>
        <w:t>are sole</w:t>
      </w:r>
      <w:r w:rsidRPr="00541E47">
        <w:rPr>
          <w:color w:val="000000" w:themeColor="text1"/>
          <w:lang w:val="en-US"/>
        </w:rPr>
        <w:t xml:space="preserve"> recipient</w:t>
      </w:r>
      <w:r w:rsidR="003061FB" w:rsidRPr="00541E47">
        <w:rPr>
          <w:color w:val="000000" w:themeColor="text1"/>
          <w:lang w:val="en-US"/>
        </w:rPr>
        <w:t>s</w:t>
      </w:r>
      <w:r w:rsidRPr="00541E47">
        <w:rPr>
          <w:color w:val="000000" w:themeColor="text1"/>
          <w:lang w:val="en-US"/>
        </w:rPr>
        <w:t xml:space="preserve"> of </w:t>
      </w:r>
      <w:r w:rsidR="00F03E7D" w:rsidRPr="00541E47">
        <w:rPr>
          <w:color w:val="000000" w:themeColor="text1"/>
          <w:lang w:val="en-US"/>
        </w:rPr>
        <w:t xml:space="preserve">public </w:t>
      </w:r>
      <w:r w:rsidRPr="00541E47">
        <w:rPr>
          <w:color w:val="000000" w:themeColor="text1"/>
          <w:lang w:val="en-US"/>
        </w:rPr>
        <w:t xml:space="preserve">capital income. Households </w:t>
      </w:r>
      <w:r w:rsidR="00E3590D" w:rsidRPr="00541E47">
        <w:rPr>
          <w:color w:val="000000" w:themeColor="text1"/>
          <w:lang w:val="en-US"/>
        </w:rPr>
        <w:t>in</w:t>
      </w:r>
      <w:r w:rsidR="003061FB" w:rsidRPr="00541E47">
        <w:rPr>
          <w:color w:val="000000" w:themeColor="text1"/>
          <w:lang w:val="en-US"/>
        </w:rPr>
        <w:t xml:space="preserve"> </w:t>
      </w:r>
      <w:r w:rsidRPr="00541E47">
        <w:rPr>
          <w:color w:val="000000" w:themeColor="text1"/>
          <w:lang w:val="en-US"/>
        </w:rPr>
        <w:t xml:space="preserve">each income category are assumed to have </w:t>
      </w:r>
      <w:r w:rsidR="003061FB" w:rsidRPr="00541E47">
        <w:rPr>
          <w:color w:val="000000" w:themeColor="text1"/>
          <w:lang w:val="en-US"/>
        </w:rPr>
        <w:t>similar</w:t>
      </w:r>
      <w:r w:rsidRPr="00541E47">
        <w:rPr>
          <w:color w:val="000000" w:themeColor="text1"/>
          <w:lang w:val="en-US"/>
        </w:rPr>
        <w:t xml:space="preserve"> preferences, and are therefore </w:t>
      </w:r>
      <w:r w:rsidR="002B5FA0" w:rsidRPr="00541E47">
        <w:rPr>
          <w:color w:val="000000" w:themeColor="text1"/>
          <w:lang w:val="en-US"/>
        </w:rPr>
        <w:t>modeled</w:t>
      </w:r>
      <w:r w:rsidRPr="00541E47">
        <w:rPr>
          <w:color w:val="000000" w:themeColor="text1"/>
          <w:lang w:val="en-US"/>
        </w:rPr>
        <w:t xml:space="preserve"> as ‘representative’ consumers. In addition to factor returns, which represent the bulk of household income, households also receive transfers from </w:t>
      </w:r>
      <w:r w:rsidR="00F03E7D" w:rsidRPr="00541E47">
        <w:rPr>
          <w:color w:val="000000" w:themeColor="text1"/>
          <w:lang w:val="en-US"/>
        </w:rPr>
        <w:t xml:space="preserve">other households, </w:t>
      </w:r>
      <w:r w:rsidRPr="00541E47">
        <w:rPr>
          <w:color w:val="000000" w:themeColor="text1"/>
          <w:lang w:val="en-US"/>
        </w:rPr>
        <w:t xml:space="preserve">the government, other domestic institutions, and the rest of the world. Household disposable income is net of personal income tax (based on fixed rates), savings (based on fixed marginal propensities), and remittances. Consumer </w:t>
      </w:r>
      <w:r w:rsidRPr="00541E47">
        <w:rPr>
          <w:color w:val="000000" w:themeColor="text1"/>
          <w:lang w:val="en-US"/>
        </w:rPr>
        <w:lastRenderedPageBreak/>
        <w:t xml:space="preserve">preferences are represented by a linear expenditure system (LES) of demand, which is derived from the maximization of a Stone-Geary utility function subject to a household budget constraint. Given prices and income, these demand functions define </w:t>
      </w:r>
      <w:r w:rsidR="0019651F" w:rsidRPr="00541E47">
        <w:rPr>
          <w:color w:val="000000" w:themeColor="text1"/>
          <w:lang w:val="en-US"/>
        </w:rPr>
        <w:t>real</w:t>
      </w:r>
      <w:r w:rsidR="00DD4071" w:rsidRPr="00541E47">
        <w:rPr>
          <w:color w:val="000000" w:themeColor="text1"/>
          <w:lang w:val="en-US"/>
        </w:rPr>
        <w:t xml:space="preserve"> </w:t>
      </w:r>
      <w:r w:rsidRPr="00541E47">
        <w:rPr>
          <w:color w:val="000000" w:themeColor="text1"/>
          <w:lang w:val="en-US"/>
        </w:rPr>
        <w:t xml:space="preserve">household consumption of each commodity. The LES specification allows for the identification of supernumerary household income that ensures a minimum level of consumption. </w:t>
      </w:r>
    </w:p>
    <w:p w:rsidR="00106054" w:rsidRPr="00541E47" w:rsidRDefault="00106054" w:rsidP="000115EF">
      <w:pPr>
        <w:jc w:val="both"/>
        <w:rPr>
          <w:color w:val="000000" w:themeColor="text1"/>
          <w:lang w:val="en-US"/>
        </w:rPr>
      </w:pPr>
    </w:p>
    <w:p w:rsidR="00106054" w:rsidRPr="00541E47" w:rsidRDefault="009875E2" w:rsidP="000115EF">
      <w:pPr>
        <w:pBdr>
          <w:bottom w:val="single" w:sz="6" w:space="1" w:color="auto"/>
        </w:pBdr>
        <w:jc w:val="both"/>
        <w:rPr>
          <w:bCs/>
          <w:color w:val="000000" w:themeColor="text1"/>
          <w:lang w:val="en-US"/>
        </w:rPr>
      </w:pPr>
      <w:r w:rsidRPr="00541E47">
        <w:rPr>
          <w:color w:val="000000" w:themeColor="text1"/>
          <w:lang w:val="en-US"/>
        </w:rPr>
        <w:t xml:space="preserve">Graph </w:t>
      </w:r>
      <w:r w:rsidR="00106054" w:rsidRPr="00541E47">
        <w:rPr>
          <w:color w:val="000000" w:themeColor="text1"/>
          <w:lang w:val="en-US"/>
        </w:rPr>
        <w:t>3</w:t>
      </w:r>
      <w:r w:rsidR="00106054" w:rsidRPr="00541E47">
        <w:rPr>
          <w:bCs/>
          <w:color w:val="000000" w:themeColor="text1"/>
          <w:lang w:val="en-US"/>
        </w:rPr>
        <w:t>: Institutional Income and Domestic Demand</w:t>
      </w:r>
    </w:p>
    <w:p w:rsidR="00106054" w:rsidRPr="00541E47" w:rsidRDefault="00C96721" w:rsidP="000115EF">
      <w:pPr>
        <w:jc w:val="both"/>
        <w:rPr>
          <w:color w:val="000000" w:themeColor="text1"/>
          <w:lang w:val="en-US"/>
        </w:rPr>
      </w:pPr>
      <w:r w:rsidRPr="00C96721">
        <w:rPr>
          <w:noProof/>
          <w:color w:val="000000" w:themeColor="text1"/>
          <w:lang w:val="en-US"/>
        </w:rPr>
        <w:pict>
          <v:line id="_x0000_s1098" style="position:absolute;left:0;text-align:left;flip:y;z-index:251669504" from="54pt,10.2pt" to="54pt,314.75pt"/>
        </w:pict>
      </w:r>
      <w:r w:rsidRPr="00C96721">
        <w:rPr>
          <w:noProof/>
          <w:color w:val="000000" w:themeColor="text1"/>
          <w:lang w:val="en-US"/>
        </w:rPr>
        <w:pict>
          <v:line id="_x0000_s1099" style="position:absolute;left:0;text-align:left;z-index:251670528" from="54pt,10.2pt" to="180pt,10.2pt">
            <v:stroke endarrow="block"/>
          </v:line>
        </w:pict>
      </w:r>
      <w:r w:rsidRPr="00C96721">
        <w:rPr>
          <w:noProof/>
          <w:color w:val="000000" w:themeColor="text1"/>
          <w:lang w:val="en-US"/>
        </w:rPr>
        <w:pict>
          <v:shape id="_x0000_s1060" type="#_x0000_t202" style="position:absolute;left:0;text-align:left;margin-left:180pt;margin-top:3.6pt;width:90pt;height:36pt;z-index:251630592">
            <v:textbox style="mso-next-textbox:#_x0000_s1060">
              <w:txbxContent>
                <w:p w:rsidR="004E0C38" w:rsidRDefault="004E0C38">
                  <w:pPr>
                    <w:pStyle w:val="Notedebasdepage"/>
                    <w:jc w:val="center"/>
                    <w:rPr>
                      <w:szCs w:val="24"/>
                    </w:rPr>
                  </w:pPr>
                  <w:r>
                    <w:rPr>
                      <w:szCs w:val="24"/>
                    </w:rPr>
                    <w:t xml:space="preserve">Aggregate </w:t>
                  </w:r>
                </w:p>
                <w:p w:rsidR="004E0C38" w:rsidRDefault="004E0C38">
                  <w:pPr>
                    <w:pStyle w:val="Notedebasdepage"/>
                    <w:jc w:val="center"/>
                    <w:rPr>
                      <w:szCs w:val="24"/>
                    </w:rPr>
                  </w:pPr>
                  <w:r>
                    <w:rPr>
                      <w:szCs w:val="24"/>
                    </w:rPr>
                    <w:t>Factor Income</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eastAsia="fr-CA"/>
        </w:rPr>
        <w:pict>
          <v:line id="_x0000_s1121" style="position:absolute;left:0;text-align:left;z-index:251693056" from="99pt,3.95pt" to="99pt,30.95pt">
            <v:stroke endarrow="block"/>
          </v:line>
        </w:pict>
      </w:r>
      <w:r w:rsidRPr="00C96721">
        <w:rPr>
          <w:noProof/>
          <w:color w:val="000000" w:themeColor="text1"/>
          <w:lang w:val="en-US"/>
        </w:rPr>
        <w:pict>
          <v:line id="_x0000_s1093" style="position:absolute;left:0;text-align:left;flip:x y;z-index:251664384" from="99pt,3.95pt" to="180pt,5.4pt"/>
        </w:pict>
      </w:r>
      <w:r w:rsidRPr="00C96721">
        <w:rPr>
          <w:noProof/>
          <w:color w:val="000000" w:themeColor="text1"/>
          <w:lang w:val="en-US"/>
        </w:rPr>
        <w:pict>
          <v:line id="_x0000_s1061" style="position:absolute;left:0;text-align:left;z-index:251631616" from="342pt,5.4pt" to="342pt,28pt">
            <v:stroke endarrow="block"/>
          </v:line>
        </w:pict>
      </w:r>
      <w:r w:rsidRPr="00C96721">
        <w:rPr>
          <w:noProof/>
          <w:color w:val="000000" w:themeColor="text1"/>
          <w:lang w:val="en-US"/>
        </w:rPr>
        <w:pict>
          <v:line id="_x0000_s1094" style="position:absolute;left:0;text-align:left;z-index:251665408" from="270pt,5.4pt" to="342pt,5.4pt"/>
        </w:pict>
      </w:r>
    </w:p>
    <w:p w:rsidR="00106054" w:rsidRPr="00541E47" w:rsidRDefault="00C96721" w:rsidP="000115EF">
      <w:pPr>
        <w:jc w:val="both"/>
        <w:rPr>
          <w:color w:val="000000" w:themeColor="text1"/>
          <w:lang w:val="en-US"/>
        </w:rPr>
      </w:pPr>
      <w:r w:rsidRPr="00C96721">
        <w:rPr>
          <w:noProof/>
          <w:color w:val="000000" w:themeColor="text1"/>
          <w:lang w:val="en-US" w:eastAsia="fr-CA"/>
        </w:rPr>
        <w:pict>
          <v:line id="_x0000_s1122" style="position:absolute;left:0;text-align:left;z-index:251694080" from="225pt,8.15pt" to="225pt,26.15pt">
            <v:stroke endarrow="block"/>
          </v:line>
        </w:pict>
      </w:r>
    </w:p>
    <w:p w:rsidR="008D13DC" w:rsidRPr="00541E47" w:rsidRDefault="00C96721" w:rsidP="000115EF">
      <w:pPr>
        <w:jc w:val="both"/>
        <w:rPr>
          <w:color w:val="000000" w:themeColor="text1"/>
          <w:lang w:val="en-US"/>
        </w:rPr>
      </w:pPr>
      <w:r w:rsidRPr="00C96721">
        <w:rPr>
          <w:noProof/>
          <w:color w:val="000000" w:themeColor="text1"/>
          <w:lang w:val="en-US" w:eastAsia="fr-CA"/>
        </w:rPr>
        <w:pict>
          <v:shape id="_x0000_s1123" type="#_x0000_t202" style="position:absolute;left:0;text-align:left;margin-left:81pt;margin-top:1.6pt;width:45pt;height:36pt;z-index:251695104" filled="f" stroked="f">
            <v:textbox style="mso-next-textbox:#_x0000_s1123">
              <w:txbxContent>
                <w:p w:rsidR="004E0C38" w:rsidRDefault="004E0C38" w:rsidP="00A26EE2">
                  <w:pPr>
                    <w:rPr>
                      <w:sz w:val="20"/>
                      <w:lang w:val="en-US"/>
                    </w:rPr>
                  </w:pPr>
                  <w:r>
                    <w:rPr>
                      <w:sz w:val="20"/>
                      <w:lang w:val="en-US"/>
                    </w:rPr>
                    <w:t>Labor</w:t>
                  </w:r>
                </w:p>
              </w:txbxContent>
            </v:textbox>
          </v:shape>
        </w:pict>
      </w:r>
      <w:r w:rsidRPr="00C96721">
        <w:rPr>
          <w:noProof/>
          <w:color w:val="000000" w:themeColor="text1"/>
          <w:lang w:val="en-US"/>
        </w:rPr>
        <w:pict>
          <v:shape id="_x0000_s1095" type="#_x0000_t202" style="position:absolute;left:0;text-align:left;margin-left:306pt;margin-top:3.35pt;width:1in;height:27pt;z-index:251666432" filled="f" stroked="f">
            <v:textbox style="mso-next-textbox:#_x0000_s1095">
              <w:txbxContent>
                <w:p w:rsidR="004E0C38" w:rsidRDefault="004E0C38">
                  <w:pPr>
                    <w:rPr>
                      <w:sz w:val="20"/>
                      <w:lang w:val="en-US"/>
                    </w:rPr>
                  </w:pPr>
                  <w:r>
                    <w:rPr>
                      <w:sz w:val="20"/>
                      <w:lang w:val="en-US"/>
                    </w:rPr>
                    <w:t>Public capital</w:t>
                  </w:r>
                </w:p>
              </w:txbxContent>
            </v:textbox>
          </v:shape>
        </w:pict>
      </w:r>
      <w:r w:rsidRPr="00C96721">
        <w:rPr>
          <w:noProof/>
          <w:color w:val="000000" w:themeColor="text1"/>
          <w:lang w:val="en-US" w:eastAsia="fr-CA"/>
        </w:rPr>
        <w:pict>
          <v:shape id="_x0000_s1117" type="#_x0000_t202" style="position:absolute;left:0;text-align:left;margin-left:189pt;margin-top:3.35pt;width:1in;height:27pt;z-index:251688960" filled="f" stroked="f">
            <v:textbox style="mso-next-textbox:#_x0000_s1117">
              <w:txbxContent>
                <w:p w:rsidR="004E0C38" w:rsidRDefault="004E0C38" w:rsidP="008D13DC">
                  <w:pPr>
                    <w:rPr>
                      <w:sz w:val="20"/>
                      <w:lang w:val="en-US"/>
                    </w:rPr>
                  </w:pPr>
                  <w:r>
                    <w:rPr>
                      <w:sz w:val="20"/>
                      <w:lang w:val="en-US"/>
                    </w:rPr>
                    <w:t xml:space="preserve">Private capital </w:t>
                  </w:r>
                </w:p>
              </w:txbxContent>
            </v:textbox>
          </v:shape>
        </w:pict>
      </w:r>
    </w:p>
    <w:p w:rsidR="008D13DC" w:rsidRPr="00541E47" w:rsidRDefault="00C96721" w:rsidP="000115EF">
      <w:pPr>
        <w:jc w:val="both"/>
        <w:rPr>
          <w:color w:val="000000" w:themeColor="text1"/>
          <w:lang w:val="en-US"/>
        </w:rPr>
      </w:pPr>
      <w:r w:rsidRPr="00C96721">
        <w:rPr>
          <w:noProof/>
          <w:color w:val="000000" w:themeColor="text1"/>
          <w:lang w:val="en-US"/>
        </w:rPr>
        <w:pict>
          <v:line id="_x0000_s1062" style="position:absolute;left:0;text-align:left;z-index:251632640" from="99pt,7.55pt" to="99pt,39.15pt">
            <v:stroke endarrow="block"/>
          </v:line>
        </w:pict>
      </w:r>
      <w:r w:rsidRPr="00C96721">
        <w:rPr>
          <w:noProof/>
          <w:color w:val="000000" w:themeColor="text1"/>
          <w:lang w:val="en-US" w:eastAsia="fr-CA"/>
        </w:rPr>
        <w:pict>
          <v:line id="_x0000_s1119" style="position:absolute;left:0;text-align:left;flip:x;z-index:251691008" from="135pt,7.55pt" to="3in,43.55pt">
            <v:stroke endarrow="block"/>
          </v:line>
        </w:pict>
      </w:r>
      <w:r w:rsidRPr="00C96721">
        <w:rPr>
          <w:noProof/>
          <w:color w:val="000000" w:themeColor="text1"/>
          <w:lang w:val="en-US" w:eastAsia="fr-CA"/>
        </w:rPr>
        <w:pict>
          <v:line id="_x0000_s1120" style="position:absolute;left:0;text-align:left;z-index:251692032" from="243pt,7.55pt" to="315pt,43.55pt">
            <v:stroke endarrow="block"/>
          </v:line>
        </w:pict>
      </w:r>
    </w:p>
    <w:p w:rsidR="008D13DC" w:rsidRPr="00541E47" w:rsidRDefault="00C96721" w:rsidP="000115EF">
      <w:pPr>
        <w:jc w:val="both"/>
        <w:rPr>
          <w:color w:val="000000" w:themeColor="text1"/>
          <w:lang w:val="en-US"/>
        </w:rPr>
      </w:pPr>
      <w:r w:rsidRPr="00C96721">
        <w:rPr>
          <w:noProof/>
          <w:color w:val="000000" w:themeColor="text1"/>
          <w:lang w:val="en-US" w:eastAsia="fr-CA"/>
        </w:rPr>
        <w:pict>
          <v:line id="_x0000_s1118" style="position:absolute;left:0;text-align:left;z-index:251689984" from="342pt,2.75pt" to="342pt,25.35pt">
            <v:stroke endarrow="block"/>
          </v:line>
        </w:pict>
      </w:r>
    </w:p>
    <w:p w:rsidR="008D13DC" w:rsidRPr="00541E47" w:rsidRDefault="008D13DC"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89" type="#_x0000_t202" style="position:absolute;left:0;text-align:left;margin-left:153pt;margin-top:.4pt;width:1in;height:27pt;z-index:251660288" filled="f" stroked="f">
            <v:textbox style="mso-next-textbox:#_x0000_s1089">
              <w:txbxContent>
                <w:p w:rsidR="004E0C38" w:rsidRDefault="004E0C38">
                  <w:pPr>
                    <w:rPr>
                      <w:sz w:val="20"/>
                      <w:lang w:val="en-US"/>
                    </w:rPr>
                  </w:pPr>
                  <w:r>
                    <w:rPr>
                      <w:sz w:val="20"/>
                      <w:lang w:val="en-US"/>
                    </w:rPr>
                    <w:t>Transfers</w:t>
                  </w:r>
                </w:p>
              </w:txbxContent>
            </v:textbox>
          </v:shape>
        </w:pict>
      </w:r>
      <w:r w:rsidRPr="00C96721">
        <w:rPr>
          <w:noProof/>
          <w:color w:val="000000" w:themeColor="text1"/>
          <w:lang w:val="en-US"/>
        </w:rPr>
        <w:pict>
          <v:shape id="_x0000_s1056" type="#_x0000_t202" style="position:absolute;left:0;text-align:left;margin-left:63pt;margin-top:.4pt;width:90pt;height:27pt;z-index:251626496">
            <v:textbox style="mso-next-textbox:#_x0000_s1056">
              <w:txbxContent>
                <w:p w:rsidR="004E0C38" w:rsidRDefault="004E0C38">
                  <w:pPr>
                    <w:pStyle w:val="Notedebasdepage"/>
                    <w:jc w:val="center"/>
                    <w:rPr>
                      <w:szCs w:val="24"/>
                    </w:rPr>
                  </w:pPr>
                  <w:r>
                    <w:rPr>
                      <w:szCs w:val="24"/>
                    </w:rPr>
                    <w:t>Households</w:t>
                  </w:r>
                </w:p>
                <w:p w:rsidR="004E0C38" w:rsidRDefault="004E0C38">
                  <w:pPr>
                    <w:pStyle w:val="Notedebasdepage"/>
                    <w:rPr>
                      <w:rFonts w:ascii="Arial" w:hAnsi="Arial" w:cs="Arial"/>
                      <w:szCs w:val="24"/>
                    </w:rPr>
                  </w:pPr>
                </w:p>
                <w:p w:rsidR="004E0C38" w:rsidRDefault="004E0C38">
                  <w:r>
                    <w:t xml:space="preserve"> </w:t>
                  </w:r>
                </w:p>
              </w:txbxContent>
            </v:textbox>
          </v:shape>
        </w:pict>
      </w:r>
      <w:r w:rsidRPr="00C96721">
        <w:rPr>
          <w:noProof/>
          <w:color w:val="000000" w:themeColor="text1"/>
          <w:lang w:val="en-US"/>
        </w:rPr>
        <w:pict>
          <v:shape id="_x0000_s1057" type="#_x0000_t202" style="position:absolute;left:0;text-align:left;margin-left:297pt;margin-top:.4pt;width:90pt;height:27pt;z-index:251627520">
            <v:textbox style="mso-next-textbox:#_x0000_s1057">
              <w:txbxContent>
                <w:p w:rsidR="004E0C38" w:rsidRDefault="004E0C38">
                  <w:pPr>
                    <w:pStyle w:val="Notedebasdepage"/>
                    <w:jc w:val="center"/>
                    <w:rPr>
                      <w:szCs w:val="24"/>
                    </w:rPr>
                  </w:pPr>
                  <w:r>
                    <w:rPr>
                      <w:szCs w:val="24"/>
                    </w:rPr>
                    <w:t>Enterprises</w:t>
                  </w:r>
                </w:p>
                <w:p w:rsidR="004E0C38" w:rsidRDefault="004E0C38">
                  <w:pPr>
                    <w:pStyle w:val="Notedebasdepage"/>
                    <w:rPr>
                      <w:rFonts w:ascii="Arial" w:hAnsi="Arial" w:cs="Arial"/>
                      <w:szCs w:val="24"/>
                    </w:rPr>
                  </w:pP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71" style="position:absolute;left:0;text-align:left;z-index:251641856" from="225pt,4.6pt" to="225pt,18pt"/>
        </w:pict>
      </w:r>
      <w:r w:rsidRPr="00C96721">
        <w:rPr>
          <w:noProof/>
          <w:color w:val="000000" w:themeColor="text1"/>
          <w:lang w:val="en-US"/>
        </w:rPr>
        <w:pict>
          <v:line id="_x0000_s1104" style="position:absolute;left:0;text-align:left;flip:x;z-index:251675648" from="387pt,0" to="396pt,0">
            <v:stroke endarrow="block"/>
          </v:line>
        </w:pict>
      </w:r>
      <w:r w:rsidRPr="00C96721">
        <w:rPr>
          <w:noProof/>
          <w:color w:val="000000" w:themeColor="text1"/>
          <w:lang w:val="en-US"/>
        </w:rPr>
        <w:pict>
          <v:line id="_x0000_s1103" style="position:absolute;left:0;text-align:left;flip:y;z-index:251674624" from="396pt,0" to="396pt,207pt"/>
        </w:pict>
      </w:r>
      <w:r w:rsidRPr="00C96721">
        <w:rPr>
          <w:noProof/>
          <w:color w:val="000000" w:themeColor="text1"/>
          <w:lang w:val="en-US"/>
        </w:rPr>
        <w:pict>
          <v:line id="_x0000_s1100" style="position:absolute;left:0;text-align:left;z-index:251671552" from="54pt,0" to="63pt,0">
            <v:stroke endarrow="block"/>
          </v:line>
        </w:pict>
      </w:r>
      <w:r w:rsidRPr="00C96721">
        <w:rPr>
          <w:noProof/>
          <w:color w:val="000000" w:themeColor="text1"/>
          <w:lang w:val="en-US"/>
        </w:rPr>
        <w:pict>
          <v:line id="_x0000_s1063" style="position:absolute;left:0;text-align:left;flip:x;z-index:251633664" from="153pt,4.6pt" to="297pt,4.6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58" type="#_x0000_t202" style="position:absolute;left:0;text-align:left;margin-left:180pt;margin-top:4.2pt;width:90pt;height:27pt;z-index:251628544">
            <v:textbox style="mso-next-textbox:#_x0000_s1058">
              <w:txbxContent>
                <w:p w:rsidR="004E0C38" w:rsidRDefault="004E0C38">
                  <w:pPr>
                    <w:pStyle w:val="Notedebasdepage"/>
                    <w:jc w:val="center"/>
                    <w:rPr>
                      <w:szCs w:val="24"/>
                    </w:rPr>
                  </w:pPr>
                  <w:r>
                    <w:rPr>
                      <w:szCs w:val="24"/>
                    </w:rPr>
                    <w:t>Government</w:t>
                  </w:r>
                </w:p>
                <w:p w:rsidR="004E0C38" w:rsidRDefault="004E0C38">
                  <w:pPr>
                    <w:pStyle w:val="Notedebasdepage"/>
                    <w:rPr>
                      <w:rFonts w:ascii="Arial" w:hAnsi="Arial" w:cs="Arial"/>
                      <w:szCs w:val="24"/>
                    </w:rPr>
                  </w:pPr>
                </w:p>
                <w:p w:rsidR="004E0C38" w:rsidRDefault="004E0C38">
                  <w:r>
                    <w:t xml:space="preserve"> </w:t>
                  </w:r>
                </w:p>
              </w:txbxContent>
            </v:textbox>
          </v:shape>
        </w:pict>
      </w:r>
      <w:r w:rsidRPr="00C96721">
        <w:rPr>
          <w:noProof/>
          <w:color w:val="000000" w:themeColor="text1"/>
          <w:lang w:val="en-US"/>
        </w:rPr>
        <w:pict>
          <v:line id="_x0000_s1072" style="position:absolute;left:0;text-align:left;z-index:251642880" from="342pt,-.2pt" to="342pt,184.2pt"/>
        </w:pict>
      </w:r>
      <w:r w:rsidRPr="00C96721">
        <w:rPr>
          <w:noProof/>
          <w:color w:val="000000" w:themeColor="text1"/>
          <w:lang w:val="en-US"/>
        </w:rPr>
        <w:pict>
          <v:line id="_x0000_s1066" style="position:absolute;left:0;text-align:left;z-index:251636736" from="108pt,-.2pt" to="108pt,184.2pt"/>
        </w:pict>
      </w:r>
      <w:r w:rsidRPr="00C96721">
        <w:rPr>
          <w:noProof/>
          <w:color w:val="000000" w:themeColor="text1"/>
          <w:lang w:val="en-US"/>
        </w:rPr>
        <w:pict>
          <v:shape id="_x0000_s1090" type="#_x0000_t202" style="position:absolute;left:0;text-align:left;margin-left:108pt;margin-top:-.2pt;width:54pt;height:27pt;z-index:251661312" filled="f" stroked="f">
            <v:textbox style="mso-next-textbox:#_x0000_s1090">
              <w:txbxContent>
                <w:p w:rsidR="004E0C38" w:rsidRDefault="004E0C38">
                  <w:pPr>
                    <w:rPr>
                      <w:sz w:val="20"/>
                      <w:lang w:val="en-US"/>
                    </w:rPr>
                  </w:pPr>
                  <w:r>
                    <w:rPr>
                      <w:sz w:val="20"/>
                      <w:lang w:val="en-US"/>
                    </w:rPr>
                    <w:t>Taxes</w:t>
                  </w:r>
                </w:p>
              </w:txbxContent>
            </v:textbox>
          </v:shape>
        </w:pict>
      </w:r>
      <w:r w:rsidRPr="00C96721">
        <w:rPr>
          <w:noProof/>
          <w:color w:val="000000" w:themeColor="text1"/>
          <w:lang w:val="en-US"/>
        </w:rPr>
        <w:pict>
          <v:shape id="_x0000_s1091" type="#_x0000_t202" style="position:absolute;left:0;text-align:left;margin-left:306pt;margin-top:-.2pt;width:54pt;height:27pt;z-index:251662336" filled="f" stroked="f">
            <v:textbox style="mso-next-textbox:#_x0000_s1091">
              <w:txbxContent>
                <w:p w:rsidR="004E0C38" w:rsidRDefault="004E0C38">
                  <w:pPr>
                    <w:rPr>
                      <w:sz w:val="20"/>
                      <w:lang w:val="en-US"/>
                    </w:rPr>
                  </w:pPr>
                  <w:r>
                    <w:rPr>
                      <w:sz w:val="20"/>
                      <w:lang w:val="en-US"/>
                    </w:rPr>
                    <w:t>Taxes</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75" style="position:absolute;left:0;text-align:left;z-index:251645952" from="4in,13pt" to="4in,112pt"/>
        </w:pict>
      </w:r>
      <w:r w:rsidRPr="00C96721">
        <w:rPr>
          <w:noProof/>
          <w:color w:val="000000" w:themeColor="text1"/>
          <w:lang w:val="en-US"/>
        </w:rPr>
        <w:pict>
          <v:line id="_x0000_s1070" style="position:absolute;left:0;text-align:left;z-index:251640832" from="108pt,4pt" to="180pt,4pt">
            <v:stroke endarrow="block"/>
          </v:line>
        </w:pict>
      </w:r>
      <w:r w:rsidRPr="00C96721">
        <w:rPr>
          <w:noProof/>
          <w:color w:val="000000" w:themeColor="text1"/>
          <w:lang w:val="en-US"/>
        </w:rPr>
        <w:pict>
          <v:line id="_x0000_s1077" style="position:absolute;left:0;text-align:left;z-index:251648000" from="270pt,13pt" to="4in,13pt"/>
        </w:pict>
      </w:r>
      <w:r w:rsidRPr="00C96721">
        <w:rPr>
          <w:noProof/>
          <w:color w:val="000000" w:themeColor="text1"/>
          <w:lang w:val="en-US"/>
        </w:rPr>
        <w:pict>
          <v:line id="_x0000_s1092" style="position:absolute;left:0;text-align:left;flip:x;z-index:251663360" from="270pt,4pt" to="342pt,4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107" type="#_x0000_t202" style="position:absolute;left:0;text-align:left;margin-left:234pt;margin-top:3.6pt;width:54pt;height:27pt;z-index:251678720" filled="f" stroked="f">
            <v:textbox style="mso-next-textbox:#_x0000_s1107">
              <w:txbxContent>
                <w:p w:rsidR="004E0C38" w:rsidRDefault="004E0C38">
                  <w:pPr>
                    <w:rPr>
                      <w:sz w:val="20"/>
                      <w:lang w:val="en-US"/>
                    </w:rPr>
                  </w:pPr>
                  <w:r>
                    <w:rPr>
                      <w:sz w:val="20"/>
                      <w:lang w:val="en-US"/>
                    </w:rPr>
                    <w:t>Taxes</w:t>
                  </w:r>
                </w:p>
              </w:txbxContent>
            </v:textbox>
          </v:shape>
        </w:pict>
      </w:r>
      <w:r w:rsidRPr="00C96721">
        <w:rPr>
          <w:noProof/>
          <w:color w:val="000000" w:themeColor="text1"/>
          <w:lang w:val="en-US"/>
        </w:rPr>
        <w:pict>
          <v:shape id="_x0000_s1079" type="#_x0000_t202" style="position:absolute;left:0;text-align:left;margin-left:153pt;margin-top:3.6pt;width:1in;height:27pt;z-index:251650048" filled="f" stroked="f">
            <v:textbox style="mso-next-textbox:#_x0000_s1079">
              <w:txbxContent>
                <w:p w:rsidR="004E0C38" w:rsidRDefault="004E0C38">
                  <w:pPr>
                    <w:rPr>
                      <w:sz w:val="20"/>
                      <w:lang w:val="en-US"/>
                    </w:rPr>
                  </w:pPr>
                  <w:r>
                    <w:rPr>
                      <w:sz w:val="20"/>
                      <w:lang w:val="en-US"/>
                    </w:rPr>
                    <w:t>Consumption</w:t>
                  </w:r>
                </w:p>
              </w:txbxContent>
            </v:textbox>
          </v:shape>
        </w:pict>
      </w:r>
      <w:r w:rsidRPr="00C96721">
        <w:rPr>
          <w:noProof/>
          <w:color w:val="000000" w:themeColor="text1"/>
          <w:lang w:val="en-US"/>
        </w:rPr>
        <w:pict>
          <v:line id="_x0000_s1083" style="position:absolute;left:0;text-align:left;z-index:251654144" from="3in,3.6pt" to="3in,30.6pt">
            <v:stroke endarrow="block"/>
          </v:line>
        </w:pict>
      </w:r>
      <w:r w:rsidRPr="00C96721">
        <w:rPr>
          <w:noProof/>
          <w:color w:val="000000" w:themeColor="text1"/>
          <w:lang w:val="en-US"/>
        </w:rPr>
        <w:pict>
          <v:line id="_x0000_s1106" style="position:absolute;left:0;text-align:left;flip:y;z-index:251677696" from="234pt,3.6pt" to="234pt,30.6pt">
            <v:stroke endarrow="block"/>
          </v:line>
        </w:pict>
      </w:r>
    </w:p>
    <w:p w:rsidR="00106054" w:rsidRPr="00541E47" w:rsidRDefault="00106054" w:rsidP="000115EF">
      <w:pPr>
        <w:jc w:val="both"/>
        <w:rPr>
          <w:color w:val="000000" w:themeColor="text1"/>
          <w:lang w:val="en-US"/>
        </w:rPr>
      </w:pPr>
    </w:p>
    <w:p w:rsidR="00106054" w:rsidRPr="00541E47" w:rsidRDefault="00C96721" w:rsidP="000115EF">
      <w:pPr>
        <w:jc w:val="both"/>
        <w:rPr>
          <w:color w:val="000000" w:themeColor="text1"/>
          <w:lang w:val="en-US"/>
        </w:rPr>
      </w:pPr>
      <w:r w:rsidRPr="00C96721">
        <w:rPr>
          <w:noProof/>
          <w:color w:val="000000" w:themeColor="text1"/>
          <w:lang w:val="en-US"/>
        </w:rPr>
        <w:pict>
          <v:shape id="_x0000_s1086" type="#_x0000_t202" style="position:absolute;left:0;text-align:left;margin-left:108pt;margin-top:3.05pt;width:1in;height:27pt;z-index:251657216" filled="f" stroked="f">
            <v:textbox style="mso-next-textbox:#_x0000_s1086">
              <w:txbxContent>
                <w:p w:rsidR="004E0C38" w:rsidRDefault="004E0C38">
                  <w:pPr>
                    <w:rPr>
                      <w:sz w:val="20"/>
                      <w:lang w:val="en-US"/>
                    </w:rPr>
                  </w:pPr>
                  <w:r>
                    <w:rPr>
                      <w:sz w:val="20"/>
                      <w:lang w:val="en-US"/>
                    </w:rPr>
                    <w:t>Consumption</w:t>
                  </w:r>
                </w:p>
              </w:txbxContent>
            </v:textbox>
          </v:shape>
        </w:pict>
      </w:r>
      <w:r w:rsidRPr="00C96721">
        <w:rPr>
          <w:noProof/>
          <w:color w:val="000000" w:themeColor="text1"/>
          <w:lang w:val="en-US"/>
        </w:rPr>
        <w:pict>
          <v:shape id="_x0000_s1059" type="#_x0000_t202" style="position:absolute;left:0;text-align:left;margin-left:180pt;margin-top:3.05pt;width:90pt;height:27pt;z-index:251629568">
            <v:textbox style="mso-next-textbox:#_x0000_s1059">
              <w:txbxContent>
                <w:p w:rsidR="004E0C38" w:rsidRDefault="004E0C38">
                  <w:pPr>
                    <w:pStyle w:val="Notedebasdepage"/>
                    <w:jc w:val="center"/>
                    <w:rPr>
                      <w:rFonts w:ascii="Arial" w:hAnsi="Arial" w:cs="Arial"/>
                      <w:szCs w:val="24"/>
                    </w:rPr>
                  </w:pPr>
                  <w:r>
                    <w:rPr>
                      <w:szCs w:val="24"/>
                    </w:rPr>
                    <w:t>Goods Market</w:t>
                  </w: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69" style="position:absolute;left:0;text-align:left;z-index:251639808" from="108pt,7.25pt" to="180pt,7.25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84" style="position:absolute;left:0;text-align:left;flip:y;z-index:251655168" from="225pt,2.45pt" to="225pt,34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87" type="#_x0000_t202" style="position:absolute;left:0;text-align:left;margin-left:162pt;margin-top:3.95pt;width:1in;height:27pt;z-index:251658240" filled="f" stroked="f">
            <v:textbox style="mso-next-textbox:#_x0000_s1087">
              <w:txbxContent>
                <w:p w:rsidR="004E0C38" w:rsidRDefault="004E0C38">
                  <w:pPr>
                    <w:rPr>
                      <w:sz w:val="20"/>
                      <w:lang w:val="en-US"/>
                    </w:rPr>
                  </w:pPr>
                  <w:r>
                    <w:rPr>
                      <w:sz w:val="20"/>
                      <w:lang w:val="en-US"/>
                    </w:rPr>
                    <w:t>Investment</w:t>
                  </w:r>
                </w:p>
              </w:txbxContent>
            </v:textbox>
          </v:shape>
        </w:pict>
      </w:r>
      <w:r w:rsidRPr="00C96721">
        <w:rPr>
          <w:noProof/>
          <w:color w:val="000000" w:themeColor="text1"/>
          <w:lang w:val="en-US"/>
        </w:rPr>
        <w:pict>
          <v:shape id="_x0000_s1088" type="#_x0000_t202" style="position:absolute;left:0;text-align:left;margin-left:225pt;margin-top:3.95pt;width:1in;height:27pt;z-index:251659264" filled="f" stroked="f">
            <v:textbox style="mso-next-textbox:#_x0000_s1088">
              <w:txbxContent>
                <w:p w:rsidR="004E0C38" w:rsidRDefault="004E0C38">
                  <w:pPr>
                    <w:rPr>
                      <w:sz w:val="20"/>
                      <w:lang w:val="en-US"/>
                    </w:rPr>
                  </w:pPr>
                  <w:r>
                    <w:rPr>
                      <w:sz w:val="20"/>
                      <w:lang w:val="en-US"/>
                    </w:rPr>
                    <w:t>Savings</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80" type="#_x0000_t202" style="position:absolute;left:0;text-align:left;margin-left:297pt;margin-top:6.4pt;width:54pt;height:27pt;z-index:251651072" filled="f" stroked="f">
            <v:textbox style="mso-next-textbox:#_x0000_s1080">
              <w:txbxContent>
                <w:p w:rsidR="004E0C38" w:rsidRDefault="004E0C38">
                  <w:pPr>
                    <w:rPr>
                      <w:sz w:val="20"/>
                      <w:lang w:val="en-US"/>
                    </w:rPr>
                  </w:pPr>
                  <w:r>
                    <w:rPr>
                      <w:sz w:val="20"/>
                      <w:lang w:val="en-US"/>
                    </w:rPr>
                    <w:t>Savings</w:t>
                  </w:r>
                </w:p>
              </w:txbxContent>
            </v:textbox>
          </v:shape>
        </w:pict>
      </w:r>
      <w:r w:rsidRPr="00C96721">
        <w:rPr>
          <w:noProof/>
          <w:color w:val="000000" w:themeColor="text1"/>
          <w:lang w:val="en-US"/>
        </w:rPr>
        <w:pict>
          <v:shape id="_x0000_s1078" type="#_x0000_t202" style="position:absolute;left:0;text-align:left;margin-left:108pt;margin-top:6.4pt;width:54pt;height:27pt;z-index:251649024" filled="f" stroked="f">
            <v:textbox style="mso-next-textbox:#_x0000_s1078">
              <w:txbxContent>
                <w:p w:rsidR="004E0C38" w:rsidRDefault="004E0C38">
                  <w:pPr>
                    <w:rPr>
                      <w:sz w:val="20"/>
                      <w:lang w:val="en-US"/>
                    </w:rPr>
                  </w:pPr>
                  <w:r>
                    <w:rPr>
                      <w:sz w:val="20"/>
                      <w:lang w:val="en-US"/>
                    </w:rPr>
                    <w:t>Savings</w:t>
                  </w:r>
                </w:p>
              </w:txbxContent>
            </v:textbox>
          </v:shape>
        </w:pict>
      </w:r>
      <w:r w:rsidRPr="00C96721">
        <w:rPr>
          <w:noProof/>
          <w:color w:val="000000" w:themeColor="text1"/>
          <w:lang w:val="en-US"/>
        </w:rPr>
        <w:pict>
          <v:shape id="_x0000_s1064" type="#_x0000_t202" style="position:absolute;left:0;text-align:left;margin-left:180pt;margin-top:6.4pt;width:90pt;height:27pt;z-index:251634688">
            <v:textbox style="mso-next-textbox:#_x0000_s1064">
              <w:txbxContent>
                <w:p w:rsidR="004E0C38" w:rsidRDefault="004E0C38">
                  <w:pPr>
                    <w:pStyle w:val="Notedebasdepage"/>
                    <w:jc w:val="center"/>
                    <w:rPr>
                      <w:rFonts w:ascii="Arial" w:hAnsi="Arial" w:cs="Arial"/>
                      <w:szCs w:val="24"/>
                    </w:rPr>
                  </w:pPr>
                  <w:r>
                    <w:rPr>
                      <w:szCs w:val="24"/>
                    </w:rPr>
                    <w:t>Savings</w:t>
                  </w: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68" style="position:absolute;left:0;text-align:left;z-index:251638784" from="108pt,10.6pt" to="180pt,10.6pt">
            <v:stroke endarrow="block"/>
          </v:line>
        </w:pict>
      </w:r>
      <w:r w:rsidRPr="00C96721">
        <w:rPr>
          <w:noProof/>
          <w:color w:val="000000" w:themeColor="text1"/>
          <w:lang w:val="en-US"/>
        </w:rPr>
        <w:pict>
          <v:line id="_x0000_s1074" style="position:absolute;left:0;text-align:left;flip:x;z-index:251644928" from="270pt,10.6pt" to="342pt,10.6pt">
            <v:stroke endarrow="block"/>
          </v:line>
        </w:pict>
      </w:r>
      <w:r w:rsidRPr="00C96721">
        <w:rPr>
          <w:noProof/>
          <w:color w:val="000000" w:themeColor="text1"/>
          <w:lang w:val="en-US"/>
        </w:rPr>
        <w:pict>
          <v:line id="_x0000_s1076" style="position:absolute;left:0;text-align:left;flip:x;z-index:251646976" from="270pt,1.6pt" to="4in,1.6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85" style="position:absolute;left:0;text-align:left;flip:y;z-index:251656192" from="225pt,5.8pt" to="225pt,32.8pt">
            <v:stroke endarrow="block"/>
          </v:lin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096" type="#_x0000_t202" style="position:absolute;left:0;text-align:left;margin-left:171pt;margin-top:1pt;width:1in;height:27pt;z-index:251667456" filled="f" stroked="f">
            <v:textbox style="mso-next-textbox:#_x0000_s1096">
              <w:txbxContent>
                <w:p w:rsidR="004E0C38" w:rsidRDefault="004E0C38">
                  <w:pPr>
                    <w:rPr>
                      <w:sz w:val="20"/>
                      <w:lang w:val="en-US"/>
                    </w:rPr>
                  </w:pPr>
                  <w:r>
                    <w:rPr>
                      <w:sz w:val="20"/>
                      <w:lang w:val="en-US"/>
                    </w:rPr>
                    <w:t>Borrowing</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shape id="_x0000_s1105" type="#_x0000_t202" style="position:absolute;left:0;text-align:left;margin-left:342pt;margin-top:9.65pt;width:1in;height:27pt;z-index:251676672" filled="f" stroked="f">
            <v:textbox style="mso-next-textbox:#_x0000_s1105">
              <w:txbxContent>
                <w:p w:rsidR="004E0C38" w:rsidRDefault="004E0C38">
                  <w:pPr>
                    <w:rPr>
                      <w:sz w:val="20"/>
                      <w:lang w:val="en-US"/>
                    </w:rPr>
                  </w:pPr>
                  <w:r>
                    <w:rPr>
                      <w:sz w:val="20"/>
                      <w:lang w:val="en-US"/>
                    </w:rPr>
                    <w:t>Transfers</w:t>
                  </w:r>
                </w:p>
              </w:txbxContent>
            </v:textbox>
          </v:shape>
        </w:pict>
      </w:r>
      <w:r w:rsidRPr="00C96721">
        <w:rPr>
          <w:noProof/>
          <w:color w:val="000000" w:themeColor="text1"/>
          <w:lang w:val="en-US"/>
        </w:rPr>
        <w:pict>
          <v:shape id="_x0000_s1082" type="#_x0000_t202" style="position:absolute;left:0;text-align:left;margin-left:279pt;margin-top:.65pt;width:1in;height:27pt;z-index:251653120" filled="f" stroked="f">
            <v:textbox style="mso-next-textbox:#_x0000_s1082">
              <w:txbxContent>
                <w:p w:rsidR="004E0C38" w:rsidRDefault="004E0C38">
                  <w:pPr>
                    <w:rPr>
                      <w:sz w:val="20"/>
                      <w:lang w:val="en-US"/>
                    </w:rPr>
                  </w:pPr>
                  <w:r>
                    <w:rPr>
                      <w:sz w:val="20"/>
                      <w:lang w:val="en-US"/>
                    </w:rPr>
                    <w:t>Remittances</w:t>
                  </w:r>
                </w:p>
              </w:txbxContent>
            </v:textbox>
          </v:shape>
        </w:pict>
      </w:r>
      <w:r w:rsidRPr="00C96721">
        <w:rPr>
          <w:noProof/>
          <w:color w:val="000000" w:themeColor="text1"/>
          <w:lang w:val="en-US"/>
        </w:rPr>
        <w:pict>
          <v:shape id="_x0000_s1081" type="#_x0000_t202" style="position:absolute;left:0;text-align:left;margin-left:108pt;margin-top:.65pt;width:1in;height:27pt;z-index:251652096" filled="f" stroked="f">
            <v:textbox style="mso-next-textbox:#_x0000_s1081">
              <w:txbxContent>
                <w:p w:rsidR="004E0C38" w:rsidRDefault="004E0C38">
                  <w:pPr>
                    <w:rPr>
                      <w:sz w:val="20"/>
                      <w:lang w:val="en-US"/>
                    </w:rPr>
                  </w:pPr>
                  <w:r>
                    <w:rPr>
                      <w:sz w:val="20"/>
                      <w:lang w:val="en-US"/>
                    </w:rPr>
                    <w:t>Remittances</w:t>
                  </w:r>
                </w:p>
              </w:txbxContent>
            </v:textbox>
          </v:shape>
        </w:pict>
      </w:r>
      <w:r w:rsidRPr="00C96721">
        <w:rPr>
          <w:noProof/>
          <w:color w:val="000000" w:themeColor="text1"/>
          <w:lang w:val="en-US"/>
        </w:rPr>
        <w:pict>
          <v:shape id="_x0000_s1101" type="#_x0000_t202" style="position:absolute;left:0;text-align:left;margin-left:54pt;margin-top:9.65pt;width:1in;height:27pt;z-index:251672576" filled="f" stroked="f">
            <v:textbox style="mso-next-textbox:#_x0000_s1101">
              <w:txbxContent>
                <w:p w:rsidR="004E0C38" w:rsidRDefault="004E0C38">
                  <w:pPr>
                    <w:rPr>
                      <w:sz w:val="20"/>
                      <w:lang w:val="en-US"/>
                    </w:rPr>
                  </w:pPr>
                  <w:r>
                    <w:rPr>
                      <w:sz w:val="20"/>
                      <w:lang w:val="en-US"/>
                    </w:rPr>
                    <w:t>Transfers</w:t>
                  </w:r>
                </w:p>
              </w:txbxContent>
            </v:textbox>
          </v:shape>
        </w:pict>
      </w:r>
      <w:r w:rsidRPr="00C96721">
        <w:rPr>
          <w:noProof/>
          <w:color w:val="000000" w:themeColor="text1"/>
          <w:lang w:val="en-US"/>
        </w:rPr>
        <w:pict>
          <v:shape id="_x0000_s1065" type="#_x0000_t202" style="position:absolute;left:0;text-align:left;margin-left:180pt;margin-top:5.2pt;width:90pt;height:27pt;z-index:251635712">
            <v:textbox style="mso-next-textbox:#_x0000_s1065">
              <w:txbxContent>
                <w:p w:rsidR="004E0C38" w:rsidRDefault="004E0C38">
                  <w:pPr>
                    <w:pStyle w:val="Notedebasdepage"/>
                    <w:jc w:val="center"/>
                    <w:rPr>
                      <w:rFonts w:ascii="Arial" w:hAnsi="Arial" w:cs="Arial"/>
                      <w:szCs w:val="24"/>
                    </w:rPr>
                  </w:pPr>
                  <w:r>
                    <w:rPr>
                      <w:szCs w:val="24"/>
                    </w:rPr>
                    <w:t>Rest of World</w:t>
                  </w:r>
                </w:p>
                <w:p w:rsidR="004E0C38" w:rsidRDefault="004E0C38">
                  <w:r>
                    <w:t xml:space="preserve"> </w:t>
                  </w:r>
                </w:p>
              </w:txbxContent>
            </v:textbox>
          </v:shape>
        </w:pict>
      </w:r>
    </w:p>
    <w:p w:rsidR="00106054" w:rsidRPr="00541E47" w:rsidRDefault="00C96721" w:rsidP="000115EF">
      <w:pPr>
        <w:jc w:val="both"/>
        <w:rPr>
          <w:color w:val="000000" w:themeColor="text1"/>
          <w:lang w:val="en-US"/>
        </w:rPr>
      </w:pPr>
      <w:r w:rsidRPr="00C96721">
        <w:rPr>
          <w:noProof/>
          <w:color w:val="000000" w:themeColor="text1"/>
          <w:lang w:val="en-US"/>
        </w:rPr>
        <w:pict>
          <v:line id="_x0000_s1073" style="position:absolute;left:0;text-align:left;flip:x;z-index:251643904" from="270pt,4.85pt" to="342pt,4.85pt">
            <v:stroke endarrow="block"/>
          </v:line>
        </w:pict>
      </w:r>
      <w:r w:rsidRPr="00C96721">
        <w:rPr>
          <w:noProof/>
          <w:color w:val="000000" w:themeColor="text1"/>
          <w:lang w:val="en-US"/>
        </w:rPr>
        <w:pict>
          <v:line id="_x0000_s1067" style="position:absolute;left:0;text-align:left;z-index:251637760" from="108pt,4.85pt" to="180pt,4.85pt">
            <v:stroke endarrow="block"/>
          </v:line>
        </w:pict>
      </w:r>
    </w:p>
    <w:p w:rsidR="00106054" w:rsidRPr="00541E47" w:rsidRDefault="00C96721" w:rsidP="000115EF">
      <w:pPr>
        <w:pBdr>
          <w:bottom w:val="single" w:sz="6" w:space="1" w:color="auto"/>
        </w:pBdr>
        <w:jc w:val="both"/>
        <w:rPr>
          <w:color w:val="000000" w:themeColor="text1"/>
          <w:lang w:val="en-US"/>
        </w:rPr>
      </w:pPr>
      <w:r w:rsidRPr="00C96721">
        <w:rPr>
          <w:noProof/>
          <w:color w:val="000000" w:themeColor="text1"/>
          <w:lang w:val="en-US"/>
        </w:rPr>
        <w:pict>
          <v:line id="_x0000_s1102" style="position:absolute;left:0;text-align:left;z-index:251673600" from="270pt,.05pt" to="396pt,.05pt"/>
        </w:pict>
      </w:r>
      <w:r w:rsidRPr="00C96721">
        <w:rPr>
          <w:noProof/>
          <w:color w:val="000000" w:themeColor="text1"/>
          <w:lang w:val="en-US"/>
        </w:rPr>
        <w:pict>
          <v:line id="_x0000_s1097" style="position:absolute;left:0;text-align:left;flip:x;z-index:251668480" from="54pt,.05pt" to="180pt,.05pt"/>
        </w:pict>
      </w:r>
    </w:p>
    <w:p w:rsidR="00106054" w:rsidRPr="00541E47" w:rsidRDefault="00106054" w:rsidP="000115EF">
      <w:pPr>
        <w:jc w:val="both"/>
        <w:rPr>
          <w:color w:val="000000" w:themeColor="text1"/>
          <w:lang w:val="en-US"/>
        </w:rPr>
      </w:pPr>
    </w:p>
    <w:p w:rsidR="00DE2CC3" w:rsidRPr="00541E47" w:rsidRDefault="00DE2CC3" w:rsidP="000115EF">
      <w:pPr>
        <w:jc w:val="both"/>
        <w:rPr>
          <w:color w:val="000000" w:themeColor="text1"/>
          <w:lang w:val="en-US"/>
        </w:rPr>
      </w:pPr>
    </w:p>
    <w:p w:rsidR="00106054" w:rsidRPr="00541E47" w:rsidRDefault="00106054" w:rsidP="000115EF">
      <w:pPr>
        <w:jc w:val="both"/>
        <w:rPr>
          <w:color w:val="000000" w:themeColor="text1"/>
          <w:lang w:val="en-US"/>
        </w:rPr>
      </w:pPr>
      <w:r w:rsidRPr="00541E47">
        <w:rPr>
          <w:color w:val="000000" w:themeColor="text1"/>
          <w:lang w:val="en-US"/>
        </w:rPr>
        <w:t xml:space="preserve">The government </w:t>
      </w:r>
      <w:r w:rsidR="007A1CAB" w:rsidRPr="00541E47">
        <w:rPr>
          <w:color w:val="000000" w:themeColor="text1"/>
          <w:lang w:val="en-US"/>
        </w:rPr>
        <w:t xml:space="preserve">generates </w:t>
      </w:r>
      <w:r w:rsidRPr="00541E47">
        <w:rPr>
          <w:color w:val="000000" w:themeColor="text1"/>
          <w:lang w:val="en-US"/>
        </w:rPr>
        <w:t xml:space="preserve">most of its </w:t>
      </w:r>
      <w:r w:rsidR="007A1CAB" w:rsidRPr="00541E47">
        <w:rPr>
          <w:color w:val="000000" w:themeColor="text1"/>
          <w:lang w:val="en-US"/>
        </w:rPr>
        <w:t xml:space="preserve">revenues </w:t>
      </w:r>
      <w:r w:rsidRPr="00541E47">
        <w:rPr>
          <w:color w:val="000000" w:themeColor="text1"/>
          <w:lang w:val="en-US"/>
        </w:rPr>
        <w:t xml:space="preserve">from direct and indirect taxes, and then spends it on consumption and transfers to households. Both of these payments are fixed in real terms. The difference between revenues and expenditures is the budget deficit. Although not shown in </w:t>
      </w:r>
      <w:r w:rsidR="00F35358" w:rsidRPr="00541E47">
        <w:rPr>
          <w:color w:val="000000" w:themeColor="text1"/>
          <w:lang w:val="en-US"/>
        </w:rPr>
        <w:t xml:space="preserve">graph </w:t>
      </w:r>
      <w:r w:rsidRPr="00541E47">
        <w:rPr>
          <w:color w:val="000000" w:themeColor="text1"/>
          <w:lang w:val="en-US"/>
        </w:rPr>
        <w:t xml:space="preserve">3, the government also </w:t>
      </w:r>
      <w:r w:rsidR="00F01200" w:rsidRPr="00541E47">
        <w:rPr>
          <w:color w:val="000000" w:themeColor="text1"/>
          <w:lang w:val="en-US"/>
        </w:rPr>
        <w:t>remits</w:t>
      </w:r>
      <w:r w:rsidR="00F01200" w:rsidRPr="00541E47">
        <w:rPr>
          <w:color w:val="000000" w:themeColor="text1"/>
        </w:rPr>
        <w:t xml:space="preserve"> </w:t>
      </w:r>
      <w:r w:rsidRPr="00541E47">
        <w:rPr>
          <w:color w:val="000000" w:themeColor="text1"/>
        </w:rPr>
        <w:t>payments to the rest of the world</w:t>
      </w:r>
      <w:r w:rsidRPr="00541E47">
        <w:rPr>
          <w:color w:val="000000" w:themeColor="text1"/>
          <w:lang w:val="en-US"/>
        </w:rPr>
        <w:t>. In the current model</w:t>
      </w:r>
      <w:r w:rsidR="008175ED" w:rsidRPr="00541E47">
        <w:rPr>
          <w:color w:val="000000" w:themeColor="text1"/>
          <w:lang w:val="en-US"/>
        </w:rPr>
        <w:t>,</w:t>
      </w:r>
      <w:r w:rsidRPr="00541E47">
        <w:rPr>
          <w:color w:val="000000" w:themeColor="text1"/>
          <w:lang w:val="en-US"/>
        </w:rPr>
        <w:t xml:space="preserve"> the government’s role as a consumer is treated separately from the </w:t>
      </w:r>
      <w:r w:rsidR="007A1CAB" w:rsidRPr="00541E47">
        <w:rPr>
          <w:color w:val="000000" w:themeColor="text1"/>
          <w:lang w:val="en-US"/>
        </w:rPr>
        <w:t xml:space="preserve">generation </w:t>
      </w:r>
      <w:r w:rsidRPr="00541E47">
        <w:rPr>
          <w:color w:val="000000" w:themeColor="text1"/>
          <w:lang w:val="en-US"/>
        </w:rPr>
        <w:t>of government services. The latter is specified as an activity</w:t>
      </w:r>
      <w:r w:rsidR="007A1CAB" w:rsidRPr="00541E47">
        <w:rPr>
          <w:color w:val="000000" w:themeColor="text1"/>
          <w:lang w:val="en-US"/>
        </w:rPr>
        <w:t xml:space="preserve"> that generates </w:t>
      </w:r>
      <w:r w:rsidR="001A026A" w:rsidRPr="00541E47">
        <w:rPr>
          <w:color w:val="000000" w:themeColor="text1"/>
          <w:lang w:val="en-US"/>
        </w:rPr>
        <w:t>services for</w:t>
      </w:r>
      <w:r w:rsidRPr="00541E47">
        <w:rPr>
          <w:color w:val="000000" w:themeColor="text1"/>
          <w:lang w:val="en-US"/>
        </w:rPr>
        <w:t xml:space="preserve"> which the government institution is the primary consumer.</w:t>
      </w:r>
    </w:p>
    <w:p w:rsidR="008175ED" w:rsidRPr="00541E47" w:rsidRDefault="008175ED" w:rsidP="000115EF">
      <w:pPr>
        <w:jc w:val="both"/>
        <w:rPr>
          <w:color w:val="000000" w:themeColor="text1"/>
          <w:lang w:val="en-US"/>
        </w:rPr>
      </w:pPr>
    </w:p>
    <w:p w:rsidR="003359BD" w:rsidRPr="00541E47" w:rsidRDefault="007A1CAB" w:rsidP="000115EF">
      <w:pPr>
        <w:jc w:val="both"/>
        <w:rPr>
          <w:color w:val="000000" w:themeColor="text1"/>
          <w:lang w:val="en-US"/>
        </w:rPr>
      </w:pPr>
      <w:r w:rsidRPr="00541E47">
        <w:rPr>
          <w:color w:val="000000" w:themeColor="text1"/>
          <w:lang w:val="en-US"/>
        </w:rPr>
        <w:t>H</w:t>
      </w:r>
      <w:r w:rsidR="00106054" w:rsidRPr="00541E47">
        <w:rPr>
          <w:color w:val="000000" w:themeColor="text1"/>
          <w:lang w:val="en-US"/>
        </w:rPr>
        <w:t>ouseholds</w:t>
      </w:r>
      <w:r w:rsidR="008175ED" w:rsidRPr="00541E47">
        <w:rPr>
          <w:color w:val="000000" w:themeColor="text1"/>
          <w:lang w:val="en-US"/>
        </w:rPr>
        <w:t>, firms, government and foreign saving</w:t>
      </w:r>
      <w:r w:rsidR="00106054" w:rsidRPr="00541E47">
        <w:rPr>
          <w:color w:val="000000" w:themeColor="text1"/>
          <w:lang w:val="en-US"/>
        </w:rPr>
        <w:t xml:space="preserve"> </w:t>
      </w:r>
      <w:r w:rsidR="008175ED" w:rsidRPr="00541E47">
        <w:rPr>
          <w:color w:val="000000" w:themeColor="text1"/>
          <w:lang w:val="en-US"/>
        </w:rPr>
        <w:t xml:space="preserve">represented by the </w:t>
      </w:r>
      <w:r w:rsidRPr="00541E47">
        <w:rPr>
          <w:color w:val="000000" w:themeColor="text1"/>
          <w:lang w:val="en-US"/>
        </w:rPr>
        <w:t xml:space="preserve">current </w:t>
      </w:r>
      <w:r w:rsidR="008175ED" w:rsidRPr="00541E47">
        <w:rPr>
          <w:color w:val="000000" w:themeColor="text1"/>
        </w:rPr>
        <w:t>account balance</w:t>
      </w:r>
      <w:r w:rsidR="008175ED" w:rsidRPr="00541E47">
        <w:rPr>
          <w:color w:val="000000" w:themeColor="text1"/>
          <w:lang w:val="en-US"/>
        </w:rPr>
        <w:t xml:space="preserve"> </w:t>
      </w:r>
      <w:r w:rsidR="00106054" w:rsidRPr="00541E47">
        <w:rPr>
          <w:color w:val="000000" w:themeColor="text1"/>
          <w:lang w:val="en-US"/>
        </w:rPr>
        <w:t xml:space="preserve">are collected into a savings pool </w:t>
      </w:r>
      <w:r w:rsidR="00DA0A9A" w:rsidRPr="00541E47">
        <w:rPr>
          <w:color w:val="000000" w:themeColor="text1"/>
          <w:lang w:val="en-US"/>
        </w:rPr>
        <w:t>used for</w:t>
      </w:r>
      <w:r w:rsidR="00106054" w:rsidRPr="00541E47">
        <w:rPr>
          <w:color w:val="000000" w:themeColor="text1"/>
          <w:lang w:val="en-US"/>
        </w:rPr>
        <w:t xml:space="preserve"> investment. </w:t>
      </w:r>
      <w:r w:rsidR="003359BD" w:rsidRPr="00541E47">
        <w:rPr>
          <w:color w:val="000000" w:themeColor="text1"/>
          <w:lang w:val="en-US"/>
        </w:rPr>
        <w:t>The sum of total investment</w:t>
      </w:r>
      <w:r w:rsidR="00DA0A9A" w:rsidRPr="00541E47">
        <w:rPr>
          <w:color w:val="000000" w:themeColor="text1"/>
          <w:lang w:val="en-US"/>
        </w:rPr>
        <w:t>s</w:t>
      </w:r>
      <w:r w:rsidR="003359BD" w:rsidRPr="00541E47">
        <w:rPr>
          <w:color w:val="000000" w:themeColor="text1"/>
          <w:lang w:val="en-US"/>
        </w:rPr>
        <w:t xml:space="preserve"> and inventories in value is equal to the sum</w:t>
      </w:r>
      <w:r w:rsidR="0019651F" w:rsidRPr="00541E47">
        <w:rPr>
          <w:color w:val="000000" w:themeColor="text1"/>
          <w:lang w:val="en-US"/>
        </w:rPr>
        <w:t xml:space="preserve"> of</w:t>
      </w:r>
      <w:r w:rsidR="003359BD" w:rsidRPr="00541E47">
        <w:rPr>
          <w:color w:val="000000" w:themeColor="text1"/>
          <w:lang w:val="en-US"/>
        </w:rPr>
        <w:t xml:space="preserve"> </w:t>
      </w:r>
      <w:r w:rsidR="0019651F" w:rsidRPr="00541E47">
        <w:rPr>
          <w:color w:val="000000" w:themeColor="text1"/>
          <w:lang w:val="en-US"/>
        </w:rPr>
        <w:t xml:space="preserve">savings expressed in local currency generated </w:t>
      </w:r>
      <w:r w:rsidR="001A026A" w:rsidRPr="00541E47">
        <w:rPr>
          <w:color w:val="000000" w:themeColor="text1"/>
          <w:lang w:val="en-US"/>
        </w:rPr>
        <w:t>by households</w:t>
      </w:r>
      <w:r w:rsidR="003359BD" w:rsidRPr="00541E47">
        <w:rPr>
          <w:color w:val="000000" w:themeColor="text1"/>
          <w:lang w:val="en-US"/>
        </w:rPr>
        <w:t xml:space="preserve">, </w:t>
      </w:r>
      <w:r w:rsidR="00DA0A9A" w:rsidRPr="00541E47">
        <w:rPr>
          <w:color w:val="000000" w:themeColor="text1"/>
          <w:lang w:val="en-US"/>
        </w:rPr>
        <w:t>companies</w:t>
      </w:r>
      <w:r w:rsidR="003359BD" w:rsidRPr="00541E47">
        <w:rPr>
          <w:color w:val="000000" w:themeColor="text1"/>
          <w:lang w:val="en-US"/>
        </w:rPr>
        <w:t xml:space="preserve">, </w:t>
      </w:r>
      <w:r w:rsidR="0019651F" w:rsidRPr="00541E47">
        <w:rPr>
          <w:color w:val="000000" w:themeColor="text1"/>
          <w:lang w:val="en-US"/>
        </w:rPr>
        <w:t xml:space="preserve">the </w:t>
      </w:r>
      <w:r w:rsidR="003359BD" w:rsidRPr="00541E47">
        <w:rPr>
          <w:color w:val="000000" w:themeColor="text1"/>
          <w:lang w:val="en-US"/>
        </w:rPr>
        <w:t xml:space="preserve">government and </w:t>
      </w:r>
      <w:r w:rsidR="0019651F" w:rsidRPr="00541E47">
        <w:rPr>
          <w:color w:val="000000" w:themeColor="text1"/>
          <w:lang w:val="en-US"/>
        </w:rPr>
        <w:t xml:space="preserve">the </w:t>
      </w:r>
      <w:r w:rsidR="003359BD" w:rsidRPr="00541E47">
        <w:rPr>
          <w:color w:val="000000" w:themeColor="text1"/>
          <w:lang w:val="en-US"/>
        </w:rPr>
        <w:t>rest of the world.</w:t>
      </w:r>
    </w:p>
    <w:p w:rsidR="00106054" w:rsidRPr="00541E47" w:rsidRDefault="00106054" w:rsidP="000115EF">
      <w:pPr>
        <w:jc w:val="both"/>
        <w:rPr>
          <w:color w:val="000000" w:themeColor="text1"/>
          <w:lang w:val="en-US"/>
        </w:rPr>
      </w:pPr>
      <w:r w:rsidRPr="00541E47">
        <w:rPr>
          <w:color w:val="000000" w:themeColor="text1"/>
          <w:lang w:val="en-US"/>
        </w:rPr>
        <w:t xml:space="preserve">There is no explicit </w:t>
      </w:r>
      <w:r w:rsidR="002B5FA0" w:rsidRPr="00541E47">
        <w:rPr>
          <w:color w:val="000000" w:themeColor="text1"/>
          <w:lang w:val="en-US"/>
        </w:rPr>
        <w:t>modeling</w:t>
      </w:r>
      <w:r w:rsidRPr="00541E47">
        <w:rPr>
          <w:color w:val="000000" w:themeColor="text1"/>
          <w:lang w:val="en-US"/>
        </w:rPr>
        <w:t xml:space="preserve"> of the financial sector within a particular time-period, with savings </w:t>
      </w:r>
      <w:r w:rsidR="002B5FA0" w:rsidRPr="00541E47">
        <w:rPr>
          <w:color w:val="000000" w:themeColor="text1"/>
          <w:lang w:val="en-US"/>
        </w:rPr>
        <w:t>equaling</w:t>
      </w:r>
      <w:r w:rsidRPr="00541E47">
        <w:rPr>
          <w:color w:val="000000" w:themeColor="text1"/>
          <w:lang w:val="en-US"/>
        </w:rPr>
        <w:t xml:space="preserve"> investment as per the </w:t>
      </w:r>
      <w:r w:rsidR="00E927C0" w:rsidRPr="00541E47">
        <w:rPr>
          <w:i/>
          <w:color w:val="000000" w:themeColor="text1"/>
          <w:lang w:val="en-US"/>
        </w:rPr>
        <w:t>ex post</w:t>
      </w:r>
      <w:r w:rsidRPr="00541E47">
        <w:rPr>
          <w:color w:val="000000" w:themeColor="text1"/>
          <w:lang w:val="en-US"/>
        </w:rPr>
        <w:t xml:space="preserve"> </w:t>
      </w:r>
      <w:r w:rsidRPr="00541E47">
        <w:rPr>
          <w:color w:val="000000" w:themeColor="text1"/>
          <w:lang w:val="en-CA"/>
        </w:rPr>
        <w:t>accounting identity</w:t>
      </w:r>
      <w:r w:rsidRPr="00541E47">
        <w:rPr>
          <w:color w:val="000000" w:themeColor="text1"/>
          <w:lang w:val="en-US"/>
        </w:rPr>
        <w:t xml:space="preserve">. This implicitly assumes that </w:t>
      </w:r>
      <w:r w:rsidR="001A026A" w:rsidRPr="00541E47">
        <w:rPr>
          <w:color w:val="000000" w:themeColor="text1"/>
          <w:lang w:val="en-US"/>
        </w:rPr>
        <w:t>the interest</w:t>
      </w:r>
      <w:r w:rsidR="0086116F" w:rsidRPr="00541E47">
        <w:rPr>
          <w:color w:val="000000" w:themeColor="text1"/>
          <w:lang w:val="en-US"/>
        </w:rPr>
        <w:t xml:space="preserve"> rate </w:t>
      </w:r>
      <w:r w:rsidRPr="00541E47">
        <w:rPr>
          <w:color w:val="000000" w:themeColor="text1"/>
          <w:lang w:val="en-US"/>
        </w:rPr>
        <w:t xml:space="preserve">adjustment </w:t>
      </w:r>
      <w:r w:rsidR="0086116F" w:rsidRPr="00541E47">
        <w:rPr>
          <w:color w:val="000000" w:themeColor="text1"/>
          <w:lang w:val="en-US"/>
        </w:rPr>
        <w:t>is necessary</w:t>
      </w:r>
      <w:r w:rsidRPr="00541E47">
        <w:rPr>
          <w:color w:val="000000" w:themeColor="text1"/>
          <w:lang w:val="en-US"/>
        </w:rPr>
        <w:t xml:space="preserve"> to ensure that savings equals investment in equilibrium. The disaggregation of investment into demand for final commodities is </w:t>
      </w:r>
      <w:r w:rsidR="00DA0A9A" w:rsidRPr="00541E47">
        <w:rPr>
          <w:color w:val="000000" w:themeColor="text1"/>
          <w:lang w:val="en-US"/>
        </w:rPr>
        <w:t xml:space="preserve">completed </w:t>
      </w:r>
      <w:r w:rsidRPr="00541E47">
        <w:rPr>
          <w:color w:val="000000" w:themeColor="text1"/>
          <w:lang w:val="en-US"/>
        </w:rPr>
        <w:t xml:space="preserve">using fixed shares, with changes in aggregate investment leading to proportional increases in the demand for individual commodities. Therefore there is no real compositional shift in investment following changes in relative commodity prices. </w:t>
      </w:r>
    </w:p>
    <w:p w:rsidR="00106054" w:rsidRPr="00541E47" w:rsidRDefault="00106054" w:rsidP="000115EF">
      <w:pPr>
        <w:jc w:val="both"/>
        <w:rPr>
          <w:color w:val="000000" w:themeColor="text1"/>
          <w:lang w:val="en-US"/>
        </w:rPr>
      </w:pPr>
    </w:p>
    <w:p w:rsidR="00106054" w:rsidRPr="00541E47" w:rsidRDefault="00106054" w:rsidP="000115EF">
      <w:pPr>
        <w:jc w:val="both"/>
        <w:rPr>
          <w:color w:val="000000" w:themeColor="text1"/>
          <w:lang w:val="en-US"/>
        </w:rPr>
      </w:pPr>
      <w:r w:rsidRPr="00541E47">
        <w:rPr>
          <w:color w:val="000000" w:themeColor="text1"/>
          <w:lang w:val="en-US"/>
        </w:rPr>
        <w:t xml:space="preserve">Production is linked to demand through the factor </w:t>
      </w:r>
      <w:r w:rsidR="00122A3A" w:rsidRPr="00541E47">
        <w:rPr>
          <w:color w:val="000000" w:themeColor="text1"/>
          <w:lang w:val="en-US"/>
        </w:rPr>
        <w:t xml:space="preserve">returns </w:t>
      </w:r>
      <w:r w:rsidRPr="00541E47">
        <w:rPr>
          <w:color w:val="000000" w:themeColor="text1"/>
          <w:lang w:val="en-US"/>
        </w:rPr>
        <w:t xml:space="preserve">and </w:t>
      </w:r>
      <w:r w:rsidR="002E5BC5" w:rsidRPr="00541E47">
        <w:rPr>
          <w:color w:val="000000" w:themeColor="text1"/>
          <w:lang w:val="en-US"/>
        </w:rPr>
        <w:t>the</w:t>
      </w:r>
      <w:r w:rsidR="0019651F" w:rsidRPr="00541E47">
        <w:rPr>
          <w:color w:val="000000" w:themeColor="text1"/>
          <w:lang w:val="en-US"/>
        </w:rPr>
        <w:t xml:space="preserve"> </w:t>
      </w:r>
      <w:r w:rsidRPr="00541E47">
        <w:rPr>
          <w:color w:val="000000" w:themeColor="text1"/>
          <w:lang w:val="en-US"/>
        </w:rPr>
        <w:t xml:space="preserve">payment </w:t>
      </w:r>
      <w:r w:rsidR="002E5BC5" w:rsidRPr="00541E47">
        <w:rPr>
          <w:color w:val="000000" w:themeColor="text1"/>
          <w:lang w:val="en-US"/>
        </w:rPr>
        <w:t xml:space="preserve">of this income </w:t>
      </w:r>
      <w:r w:rsidRPr="00541E47">
        <w:rPr>
          <w:color w:val="000000" w:themeColor="text1"/>
          <w:lang w:val="en-US"/>
        </w:rPr>
        <w:t>to domestic institutions. Balance between demand and supply for both commodities and factors are necessary in order for the model to reach equilibrium. This balance is imposed on the model through a series of system constraints.</w:t>
      </w:r>
    </w:p>
    <w:p w:rsidR="00106054" w:rsidRPr="00541E47" w:rsidRDefault="00106054" w:rsidP="000115EF">
      <w:pPr>
        <w:jc w:val="both"/>
        <w:rPr>
          <w:color w:val="000000" w:themeColor="text1"/>
          <w:lang w:val="en-US"/>
        </w:rPr>
      </w:pPr>
    </w:p>
    <w:p w:rsidR="00106054" w:rsidRPr="00541E47" w:rsidRDefault="00106054" w:rsidP="000115EF">
      <w:pPr>
        <w:pStyle w:val="Titre3"/>
        <w:spacing w:line="240" w:lineRule="auto"/>
        <w:jc w:val="both"/>
        <w:rPr>
          <w:rFonts w:cs="Times New Roman"/>
          <w:color w:val="000000" w:themeColor="text1"/>
          <w:lang w:val="en-US"/>
        </w:rPr>
      </w:pPr>
      <w:bookmarkStart w:id="5" w:name="_Toc189443942"/>
      <w:r w:rsidRPr="00541E47">
        <w:rPr>
          <w:rFonts w:cs="Times New Roman"/>
          <w:color w:val="000000" w:themeColor="text1"/>
          <w:lang w:val="en-US"/>
        </w:rPr>
        <w:t>System Constraints and Macroeconomic Closures</w:t>
      </w:r>
      <w:bookmarkEnd w:id="5"/>
    </w:p>
    <w:p w:rsidR="00106054" w:rsidRPr="00541E47" w:rsidRDefault="00106054" w:rsidP="000115EF">
      <w:pPr>
        <w:jc w:val="both"/>
        <w:rPr>
          <w:color w:val="000000" w:themeColor="text1"/>
          <w:lang w:val="en-US"/>
        </w:rPr>
      </w:pPr>
      <w:r w:rsidRPr="00541E47">
        <w:rPr>
          <w:color w:val="000000" w:themeColor="text1"/>
          <w:lang w:val="en-US"/>
        </w:rPr>
        <w:t>Equilibrium in the goods market requires that demand for commodities equal</w:t>
      </w:r>
      <w:r w:rsidR="00AC0691" w:rsidRPr="00541E47">
        <w:rPr>
          <w:color w:val="000000" w:themeColor="text1"/>
          <w:lang w:val="en-US"/>
        </w:rPr>
        <w:t>s</w:t>
      </w:r>
      <w:r w:rsidRPr="00541E47">
        <w:rPr>
          <w:color w:val="000000" w:themeColor="text1"/>
          <w:lang w:val="en-US"/>
        </w:rPr>
        <w:t xml:space="preserve"> supply. Aggregate demand for each commodity </w:t>
      </w:r>
      <w:r w:rsidR="00F93455" w:rsidRPr="00541E47">
        <w:rPr>
          <w:color w:val="000000" w:themeColor="text1"/>
          <w:lang w:val="en-US"/>
        </w:rPr>
        <w:t xml:space="preserve">includes </w:t>
      </w:r>
      <w:r w:rsidRPr="00541E47">
        <w:rPr>
          <w:color w:val="000000" w:themeColor="text1"/>
          <w:lang w:val="en-US"/>
        </w:rPr>
        <w:t xml:space="preserve">household and government consumption spending, investment spending, and export and </w:t>
      </w:r>
      <w:r w:rsidR="00F93455" w:rsidRPr="00541E47">
        <w:rPr>
          <w:color w:val="000000" w:themeColor="text1"/>
          <w:lang w:val="en-US"/>
        </w:rPr>
        <w:t xml:space="preserve">demand for </w:t>
      </w:r>
      <w:r w:rsidRPr="00541E47">
        <w:rPr>
          <w:color w:val="000000" w:themeColor="text1"/>
          <w:lang w:val="en-US"/>
        </w:rPr>
        <w:t xml:space="preserve">transaction services. Supply includes both domestic production and </w:t>
      </w:r>
      <w:r w:rsidR="00AC0691" w:rsidRPr="00541E47">
        <w:rPr>
          <w:color w:val="000000" w:themeColor="text1"/>
          <w:lang w:val="en-US"/>
        </w:rPr>
        <w:t>commodity imports</w:t>
      </w:r>
      <w:r w:rsidRPr="00541E47">
        <w:rPr>
          <w:color w:val="000000" w:themeColor="text1"/>
          <w:lang w:val="en-US"/>
        </w:rPr>
        <w:t xml:space="preserve">. Equilibrium is attained through the endogenous interaction of domestic and foreign prices, and the effect that shifts in relative prices have on </w:t>
      </w:r>
      <w:r w:rsidR="002B5FA0" w:rsidRPr="00541E47">
        <w:rPr>
          <w:color w:val="000000" w:themeColor="text1"/>
        </w:rPr>
        <w:t>sectoral</w:t>
      </w:r>
      <w:r w:rsidRPr="00541E47">
        <w:rPr>
          <w:color w:val="000000" w:themeColor="text1"/>
        </w:rPr>
        <w:t xml:space="preserve"> </w:t>
      </w:r>
      <w:r w:rsidRPr="00541E47">
        <w:rPr>
          <w:color w:val="000000" w:themeColor="text1"/>
          <w:lang w:val="en-US"/>
        </w:rPr>
        <w:t xml:space="preserve">production and employment, and hence institutional income and demand.   </w:t>
      </w:r>
    </w:p>
    <w:p w:rsidR="00106054" w:rsidRPr="00541E47" w:rsidRDefault="00F93455" w:rsidP="000115EF">
      <w:pPr>
        <w:jc w:val="both"/>
        <w:rPr>
          <w:color w:val="000000" w:themeColor="text1"/>
          <w:lang w:val="en-US"/>
        </w:rPr>
      </w:pPr>
      <w:r w:rsidRPr="00541E47">
        <w:rPr>
          <w:color w:val="000000" w:themeColor="text1"/>
          <w:lang w:val="en-US"/>
        </w:rPr>
        <w:t>Balancing</w:t>
      </w:r>
      <w:r w:rsidR="00106054" w:rsidRPr="00541E47">
        <w:rPr>
          <w:color w:val="000000" w:themeColor="text1"/>
          <w:lang w:val="en-US"/>
        </w:rPr>
        <w:t xml:space="preserve"> factor demand and supply is </w:t>
      </w:r>
      <w:r w:rsidRPr="00541E47">
        <w:rPr>
          <w:color w:val="000000" w:themeColor="text1"/>
          <w:lang w:val="en-US"/>
        </w:rPr>
        <w:t xml:space="preserve">based </w:t>
      </w:r>
      <w:r w:rsidR="00106054" w:rsidRPr="00541E47">
        <w:rPr>
          <w:color w:val="000000" w:themeColor="text1"/>
          <w:lang w:val="en-US"/>
        </w:rPr>
        <w:t xml:space="preserve">on </w:t>
      </w:r>
      <w:r w:rsidR="00DD4071" w:rsidRPr="00541E47">
        <w:rPr>
          <w:color w:val="000000" w:themeColor="text1"/>
          <w:lang w:val="en-US"/>
        </w:rPr>
        <w:t xml:space="preserve">factor </w:t>
      </w:r>
      <w:r w:rsidRPr="00541E47">
        <w:rPr>
          <w:color w:val="000000" w:themeColor="text1"/>
          <w:lang w:val="en-US"/>
        </w:rPr>
        <w:t xml:space="preserve">market </w:t>
      </w:r>
      <w:r w:rsidR="00217CAF" w:rsidRPr="00541E47">
        <w:rPr>
          <w:color w:val="000000" w:themeColor="text1"/>
          <w:lang w:val="en-US"/>
        </w:rPr>
        <w:t>characteri</w:t>
      </w:r>
      <w:r w:rsidRPr="00541E47">
        <w:rPr>
          <w:color w:val="000000" w:themeColor="text1"/>
          <w:lang w:val="en-US"/>
        </w:rPr>
        <w:t>sti</w:t>
      </w:r>
      <w:r w:rsidR="00217CAF" w:rsidRPr="00541E47">
        <w:rPr>
          <w:color w:val="000000" w:themeColor="text1"/>
          <w:lang w:val="en-US"/>
        </w:rPr>
        <w:t>cs</w:t>
      </w:r>
      <w:r w:rsidR="00106054" w:rsidRPr="00541E47">
        <w:rPr>
          <w:color w:val="000000" w:themeColor="text1"/>
          <w:lang w:val="en-US"/>
        </w:rPr>
        <w:t xml:space="preserve">. As discussed above, capital is fully </w:t>
      </w:r>
      <w:r w:rsidR="00DC6812" w:rsidRPr="00541E47">
        <w:rPr>
          <w:color w:val="000000" w:themeColor="text1"/>
          <w:lang w:val="en-US"/>
        </w:rPr>
        <w:t xml:space="preserve">utilized </w:t>
      </w:r>
      <w:r w:rsidR="00106054" w:rsidRPr="00541E47">
        <w:rPr>
          <w:color w:val="000000" w:themeColor="text1"/>
          <w:lang w:val="en-US"/>
        </w:rPr>
        <w:t xml:space="preserve">and </w:t>
      </w:r>
      <w:r w:rsidR="00DC6812" w:rsidRPr="00541E47">
        <w:rPr>
          <w:color w:val="000000" w:themeColor="text1"/>
          <w:lang w:val="en-US"/>
        </w:rPr>
        <w:t xml:space="preserve">is </w:t>
      </w:r>
      <w:r w:rsidR="00106054" w:rsidRPr="00541E47">
        <w:rPr>
          <w:color w:val="000000" w:themeColor="text1"/>
          <w:lang w:val="en-US"/>
        </w:rPr>
        <w:t xml:space="preserve">sector-specific. </w:t>
      </w:r>
      <w:r w:rsidR="00DC6812" w:rsidRPr="00541E47">
        <w:rPr>
          <w:color w:val="000000" w:themeColor="text1"/>
          <w:lang w:val="en-US"/>
        </w:rPr>
        <w:t xml:space="preserve">The labor </w:t>
      </w:r>
      <w:r w:rsidR="00217CAF" w:rsidRPr="00541E47">
        <w:rPr>
          <w:color w:val="000000" w:themeColor="text1"/>
          <w:lang w:val="en-US"/>
        </w:rPr>
        <w:t xml:space="preserve">market is assumed to be competitive. </w:t>
      </w:r>
      <w:r w:rsidRPr="00541E47">
        <w:rPr>
          <w:color w:val="000000" w:themeColor="text1"/>
          <w:lang w:val="en-US"/>
        </w:rPr>
        <w:t xml:space="preserve">Alternatively, </w:t>
      </w:r>
      <w:r w:rsidR="00106054" w:rsidRPr="00541E47">
        <w:rPr>
          <w:color w:val="000000" w:themeColor="text1"/>
          <w:lang w:val="en-US"/>
        </w:rPr>
        <w:t xml:space="preserve">the supply of this factor is responsive to changes in </w:t>
      </w:r>
      <w:r w:rsidR="00A77829" w:rsidRPr="00541E47">
        <w:rPr>
          <w:color w:val="000000" w:themeColor="text1"/>
          <w:lang w:val="en-US"/>
        </w:rPr>
        <w:t xml:space="preserve">actual </w:t>
      </w:r>
      <w:r w:rsidR="00106054" w:rsidRPr="00541E47">
        <w:rPr>
          <w:color w:val="000000" w:themeColor="text1"/>
          <w:lang w:val="en-US"/>
        </w:rPr>
        <w:t>wages</w:t>
      </w:r>
      <w:r w:rsidR="00DC6812" w:rsidRPr="00541E47">
        <w:rPr>
          <w:color w:val="000000" w:themeColor="text1"/>
          <w:lang w:val="en-US"/>
        </w:rPr>
        <w:t>,</w:t>
      </w:r>
      <w:r w:rsidR="00106054" w:rsidRPr="00541E47">
        <w:rPr>
          <w:color w:val="000000" w:themeColor="text1"/>
          <w:lang w:val="en-US"/>
        </w:rPr>
        <w:t xml:space="preserve"> which adjust to ensure </w:t>
      </w:r>
      <w:r w:rsidR="00AC0691" w:rsidRPr="00541E47">
        <w:rPr>
          <w:color w:val="000000" w:themeColor="text1"/>
          <w:lang w:val="en-US"/>
        </w:rPr>
        <w:t xml:space="preserve">the same level of equilibrium for </w:t>
      </w:r>
      <w:r w:rsidR="00106054" w:rsidRPr="00541E47">
        <w:rPr>
          <w:color w:val="000000" w:themeColor="text1"/>
          <w:lang w:val="en-US"/>
        </w:rPr>
        <w:t xml:space="preserve">demand and supply. </w:t>
      </w:r>
    </w:p>
    <w:p w:rsidR="00106054" w:rsidRPr="00541E47" w:rsidRDefault="00106054" w:rsidP="000115EF">
      <w:pPr>
        <w:jc w:val="both"/>
        <w:rPr>
          <w:color w:val="000000" w:themeColor="text1"/>
          <w:lang w:val="en-US"/>
        </w:rPr>
      </w:pPr>
      <w:r w:rsidRPr="00541E47">
        <w:rPr>
          <w:color w:val="000000" w:themeColor="text1"/>
          <w:lang w:val="en-US"/>
        </w:rPr>
        <w:t>The model includes three broad macroeconomic accounts: the current account, the government balance, and the savings and investment</w:t>
      </w:r>
      <w:r w:rsidR="00C65B74" w:rsidRPr="00541E47">
        <w:rPr>
          <w:color w:val="000000" w:themeColor="text1"/>
          <w:lang w:val="en-US"/>
        </w:rPr>
        <w:t>s</w:t>
      </w:r>
      <w:r w:rsidRPr="00541E47">
        <w:rPr>
          <w:color w:val="000000" w:themeColor="text1"/>
          <w:lang w:val="en-US"/>
        </w:rPr>
        <w:t xml:space="preserve"> account. In order to </w:t>
      </w:r>
      <w:r w:rsidR="00C65B74" w:rsidRPr="00541E47">
        <w:rPr>
          <w:color w:val="000000" w:themeColor="text1"/>
          <w:lang w:val="en-US"/>
        </w:rPr>
        <w:t>ensure</w:t>
      </w:r>
      <w:r w:rsidRPr="00541E47">
        <w:rPr>
          <w:color w:val="000000" w:themeColor="text1"/>
          <w:lang w:val="en-US"/>
        </w:rPr>
        <w:t xml:space="preserve"> equilibrium in the various macro accounts</w:t>
      </w:r>
      <w:r w:rsidR="00603CF3" w:rsidRPr="00541E47">
        <w:rPr>
          <w:color w:val="000000" w:themeColor="text1"/>
          <w:lang w:val="en-US"/>
        </w:rPr>
        <w:t>,</w:t>
      </w:r>
      <w:r w:rsidRPr="00541E47">
        <w:rPr>
          <w:color w:val="000000" w:themeColor="text1"/>
          <w:lang w:val="en-US"/>
        </w:rPr>
        <w:t xml:space="preserve"> it is necessary to specify a set of ‘</w:t>
      </w:r>
      <w:r w:rsidR="002B5FA0" w:rsidRPr="00541E47">
        <w:rPr>
          <w:color w:val="000000" w:themeColor="text1"/>
          <w:lang w:val="en-US"/>
        </w:rPr>
        <w:t>macro-closure</w:t>
      </w:r>
      <w:r w:rsidRPr="00541E47">
        <w:rPr>
          <w:color w:val="000000" w:themeColor="text1"/>
          <w:lang w:val="en-US"/>
        </w:rPr>
        <w:t>’ rules which provide a mechanism through which adjustment is assumed to take place.</w:t>
      </w:r>
    </w:p>
    <w:p w:rsidR="00106054" w:rsidRPr="00541E47" w:rsidRDefault="00106054" w:rsidP="000115EF">
      <w:pPr>
        <w:jc w:val="both"/>
        <w:rPr>
          <w:color w:val="000000" w:themeColor="text1"/>
          <w:lang w:val="en-US"/>
        </w:rPr>
      </w:pPr>
    </w:p>
    <w:p w:rsidR="00472B59" w:rsidRPr="00541E47" w:rsidRDefault="00472B59" w:rsidP="000115EF">
      <w:pPr>
        <w:jc w:val="both"/>
        <w:rPr>
          <w:bCs/>
          <w:color w:val="000000" w:themeColor="text1"/>
          <w:szCs w:val="26"/>
          <w:lang w:val="en-US"/>
        </w:rPr>
      </w:pPr>
      <w:r w:rsidRPr="00541E47">
        <w:rPr>
          <w:bCs/>
          <w:color w:val="000000" w:themeColor="text1"/>
          <w:szCs w:val="26"/>
          <w:lang w:val="en-US"/>
        </w:rPr>
        <w:t xml:space="preserve">The </w:t>
      </w:r>
      <w:r w:rsidR="00830AE9" w:rsidRPr="00541E47">
        <w:rPr>
          <w:bCs/>
          <w:color w:val="000000" w:themeColor="text1"/>
          <w:szCs w:val="26"/>
          <w:lang w:val="en-US"/>
        </w:rPr>
        <w:t xml:space="preserve">ratio between </w:t>
      </w:r>
      <w:r w:rsidRPr="00541E47">
        <w:rPr>
          <w:bCs/>
          <w:color w:val="000000" w:themeColor="text1"/>
          <w:szCs w:val="26"/>
          <w:lang w:val="en-US"/>
        </w:rPr>
        <w:t xml:space="preserve">current account </w:t>
      </w:r>
      <w:r w:rsidR="00830AE9" w:rsidRPr="00541E47">
        <w:rPr>
          <w:bCs/>
          <w:color w:val="000000" w:themeColor="text1"/>
          <w:szCs w:val="26"/>
          <w:lang w:val="en-US"/>
        </w:rPr>
        <w:t xml:space="preserve">and GDP </w:t>
      </w:r>
      <w:r w:rsidRPr="00541E47">
        <w:rPr>
          <w:bCs/>
          <w:color w:val="000000" w:themeColor="text1"/>
          <w:szCs w:val="26"/>
          <w:lang w:val="en-US"/>
        </w:rPr>
        <w:t xml:space="preserve">is </w:t>
      </w:r>
      <w:r w:rsidR="00744F83" w:rsidRPr="00541E47">
        <w:rPr>
          <w:bCs/>
          <w:color w:val="000000" w:themeColor="text1"/>
          <w:szCs w:val="26"/>
          <w:lang w:val="en-US"/>
        </w:rPr>
        <w:t xml:space="preserve">assumed </w:t>
      </w:r>
      <w:r w:rsidR="00DC6812" w:rsidRPr="00541E47">
        <w:rPr>
          <w:bCs/>
          <w:color w:val="000000" w:themeColor="text1"/>
          <w:szCs w:val="26"/>
          <w:lang w:val="en-US"/>
        </w:rPr>
        <w:t xml:space="preserve">to be </w:t>
      </w:r>
      <w:r w:rsidRPr="00541E47">
        <w:rPr>
          <w:bCs/>
          <w:color w:val="000000" w:themeColor="text1"/>
          <w:szCs w:val="26"/>
          <w:lang w:val="en-US"/>
        </w:rPr>
        <w:t>f</w:t>
      </w:r>
      <w:r w:rsidR="00CF13F3" w:rsidRPr="00541E47">
        <w:rPr>
          <w:bCs/>
          <w:color w:val="000000" w:themeColor="text1"/>
          <w:szCs w:val="26"/>
          <w:lang w:val="en-US"/>
        </w:rPr>
        <w:t>ixed.</w:t>
      </w:r>
      <w:r w:rsidRPr="00541E47">
        <w:rPr>
          <w:bCs/>
          <w:color w:val="000000" w:themeColor="text1"/>
          <w:szCs w:val="26"/>
          <w:lang w:val="en-US"/>
        </w:rPr>
        <w:t xml:space="preserve"> The exchange rate</w:t>
      </w:r>
      <w:r w:rsidR="00744F83" w:rsidRPr="00541E47">
        <w:rPr>
          <w:bCs/>
          <w:color w:val="000000" w:themeColor="text1"/>
          <w:szCs w:val="26"/>
          <w:lang w:val="en-US"/>
        </w:rPr>
        <w:t xml:space="preserve"> </w:t>
      </w:r>
      <w:r w:rsidR="001A026A" w:rsidRPr="00541E47">
        <w:rPr>
          <w:bCs/>
          <w:color w:val="000000" w:themeColor="text1"/>
          <w:szCs w:val="26"/>
          <w:lang w:val="en-US"/>
        </w:rPr>
        <w:t>and inventories</w:t>
      </w:r>
      <w:r w:rsidRPr="00541E47">
        <w:rPr>
          <w:bCs/>
          <w:color w:val="000000" w:themeColor="text1"/>
          <w:szCs w:val="26"/>
          <w:lang w:val="en-US"/>
        </w:rPr>
        <w:t xml:space="preserve"> are fixed</w:t>
      </w:r>
      <w:r w:rsidR="00DC6812" w:rsidRPr="00541E47">
        <w:rPr>
          <w:bCs/>
          <w:color w:val="000000" w:themeColor="text1"/>
          <w:szCs w:val="26"/>
          <w:lang w:val="en-US"/>
        </w:rPr>
        <w:t>, as is the propensity for</w:t>
      </w:r>
      <w:r w:rsidRPr="00541E47">
        <w:rPr>
          <w:bCs/>
          <w:color w:val="000000" w:themeColor="text1"/>
          <w:szCs w:val="26"/>
          <w:lang w:val="en-US"/>
        </w:rPr>
        <w:t xml:space="preserve"> </w:t>
      </w:r>
      <w:r w:rsidR="00DC6812" w:rsidRPr="00541E47">
        <w:rPr>
          <w:bCs/>
          <w:color w:val="000000" w:themeColor="text1"/>
          <w:szCs w:val="26"/>
          <w:lang w:val="en-US"/>
        </w:rPr>
        <w:t>institutions to save</w:t>
      </w:r>
      <w:r w:rsidRPr="00541E47">
        <w:rPr>
          <w:bCs/>
          <w:color w:val="000000" w:themeColor="text1"/>
          <w:szCs w:val="26"/>
          <w:lang w:val="en-US"/>
        </w:rPr>
        <w:t xml:space="preserve">. </w:t>
      </w:r>
      <w:r w:rsidR="00AC0691" w:rsidRPr="00541E47">
        <w:rPr>
          <w:bCs/>
          <w:color w:val="000000" w:themeColor="text1"/>
          <w:szCs w:val="26"/>
          <w:lang w:val="en-US"/>
        </w:rPr>
        <w:t>P</w:t>
      </w:r>
      <w:r w:rsidRPr="00541E47">
        <w:rPr>
          <w:bCs/>
          <w:color w:val="000000" w:themeColor="text1"/>
          <w:szCs w:val="26"/>
          <w:lang w:val="en-US"/>
        </w:rPr>
        <w:t xml:space="preserve">ublic expenditures are </w:t>
      </w:r>
      <w:r w:rsidR="00DC6812" w:rsidRPr="00541E47">
        <w:rPr>
          <w:bCs/>
          <w:color w:val="000000" w:themeColor="text1"/>
          <w:szCs w:val="26"/>
          <w:lang w:val="en-US"/>
        </w:rPr>
        <w:t xml:space="preserve">also </w:t>
      </w:r>
      <w:r w:rsidR="00744F83" w:rsidRPr="00541E47">
        <w:rPr>
          <w:bCs/>
          <w:color w:val="000000" w:themeColor="text1"/>
          <w:szCs w:val="26"/>
          <w:lang w:val="en-US"/>
        </w:rPr>
        <w:t xml:space="preserve">assumed </w:t>
      </w:r>
      <w:r w:rsidR="00DC6812" w:rsidRPr="00541E47">
        <w:rPr>
          <w:bCs/>
          <w:color w:val="000000" w:themeColor="text1"/>
          <w:szCs w:val="26"/>
          <w:lang w:val="en-US"/>
        </w:rPr>
        <w:t xml:space="preserve">to be </w:t>
      </w:r>
      <w:r w:rsidRPr="00541E47">
        <w:rPr>
          <w:bCs/>
          <w:color w:val="000000" w:themeColor="text1"/>
          <w:szCs w:val="26"/>
          <w:lang w:val="en-US"/>
        </w:rPr>
        <w:t xml:space="preserve">fixed in real terms </w:t>
      </w:r>
      <w:r w:rsidR="00744F83" w:rsidRPr="00541E47">
        <w:rPr>
          <w:bCs/>
          <w:color w:val="000000" w:themeColor="text1"/>
          <w:szCs w:val="26"/>
          <w:lang w:val="en-US"/>
        </w:rPr>
        <w:t xml:space="preserve">during </w:t>
      </w:r>
      <w:r w:rsidRPr="00541E47">
        <w:rPr>
          <w:bCs/>
          <w:color w:val="000000" w:themeColor="text1"/>
          <w:szCs w:val="26"/>
          <w:lang w:val="en-US"/>
        </w:rPr>
        <w:t xml:space="preserve">the first period. However, they increase at the same rate </w:t>
      </w:r>
      <w:r w:rsidR="00744F83" w:rsidRPr="00541E47">
        <w:rPr>
          <w:bCs/>
          <w:color w:val="000000" w:themeColor="text1"/>
          <w:szCs w:val="26"/>
          <w:lang w:val="en-US"/>
        </w:rPr>
        <w:t xml:space="preserve">as </w:t>
      </w:r>
      <w:r w:rsidR="001A026A" w:rsidRPr="00541E47">
        <w:rPr>
          <w:bCs/>
          <w:color w:val="000000" w:themeColor="text1"/>
          <w:szCs w:val="26"/>
          <w:lang w:val="en-US"/>
        </w:rPr>
        <w:t>the population</w:t>
      </w:r>
      <w:r w:rsidR="00C65B74" w:rsidRPr="00541E47">
        <w:rPr>
          <w:bCs/>
          <w:color w:val="000000" w:themeColor="text1"/>
          <w:szCs w:val="26"/>
          <w:lang w:val="en-US"/>
        </w:rPr>
        <w:t xml:space="preserve"> growth</w:t>
      </w:r>
      <w:r w:rsidRPr="00541E47">
        <w:rPr>
          <w:bCs/>
          <w:color w:val="000000" w:themeColor="text1"/>
          <w:szCs w:val="26"/>
          <w:lang w:val="en-US"/>
        </w:rPr>
        <w:t>. Government saving</w:t>
      </w:r>
      <w:r w:rsidR="00744F83" w:rsidRPr="00541E47">
        <w:rPr>
          <w:bCs/>
          <w:color w:val="000000" w:themeColor="text1"/>
          <w:szCs w:val="26"/>
          <w:lang w:val="en-US"/>
        </w:rPr>
        <w:t>s</w:t>
      </w:r>
      <w:r w:rsidRPr="00541E47">
        <w:rPr>
          <w:bCs/>
          <w:color w:val="000000" w:themeColor="text1"/>
          <w:szCs w:val="26"/>
          <w:lang w:val="en-US"/>
        </w:rPr>
        <w:t>, transfers</w:t>
      </w:r>
      <w:r w:rsidR="00C65B74" w:rsidRPr="00541E47">
        <w:rPr>
          <w:bCs/>
          <w:color w:val="000000" w:themeColor="text1"/>
          <w:szCs w:val="26"/>
          <w:lang w:val="en-US"/>
        </w:rPr>
        <w:t>, and</w:t>
      </w:r>
      <w:r w:rsidRPr="00541E47">
        <w:rPr>
          <w:bCs/>
          <w:color w:val="000000" w:themeColor="text1"/>
          <w:szCs w:val="26"/>
          <w:lang w:val="en-US"/>
        </w:rPr>
        <w:t xml:space="preserve"> labor supply follow the same pattern. Therefore, these different variables are fixed </w:t>
      </w:r>
      <w:r w:rsidR="00744F83" w:rsidRPr="00541E47">
        <w:rPr>
          <w:bCs/>
          <w:color w:val="000000" w:themeColor="text1"/>
          <w:szCs w:val="26"/>
          <w:lang w:val="en-US"/>
        </w:rPr>
        <w:t xml:space="preserve">during </w:t>
      </w:r>
      <w:r w:rsidRPr="00541E47">
        <w:rPr>
          <w:bCs/>
          <w:color w:val="000000" w:themeColor="text1"/>
          <w:szCs w:val="26"/>
          <w:lang w:val="en-US"/>
        </w:rPr>
        <w:t>the first period.</w:t>
      </w:r>
    </w:p>
    <w:p w:rsidR="00DC6812" w:rsidRPr="00541E47" w:rsidRDefault="00DC6812" w:rsidP="000115EF">
      <w:pPr>
        <w:jc w:val="both"/>
        <w:rPr>
          <w:bCs/>
          <w:color w:val="000000" w:themeColor="text1"/>
          <w:szCs w:val="26"/>
          <w:lang w:val="en-US"/>
        </w:rPr>
      </w:pPr>
    </w:p>
    <w:p w:rsidR="00106054" w:rsidRPr="00541E47" w:rsidRDefault="00106054" w:rsidP="000115EF">
      <w:pPr>
        <w:jc w:val="both"/>
        <w:rPr>
          <w:color w:val="000000" w:themeColor="text1"/>
          <w:lang w:val="en-US"/>
        </w:rPr>
      </w:pPr>
      <w:r w:rsidRPr="00541E47">
        <w:rPr>
          <w:color w:val="000000" w:themeColor="text1"/>
          <w:lang w:val="en-US"/>
        </w:rPr>
        <w:t xml:space="preserve">Although the government and current </w:t>
      </w:r>
      <w:r w:rsidRPr="00541E47">
        <w:rPr>
          <w:color w:val="000000" w:themeColor="text1"/>
        </w:rPr>
        <w:t>account closures</w:t>
      </w:r>
      <w:r w:rsidRPr="00541E47">
        <w:rPr>
          <w:color w:val="000000" w:themeColor="text1"/>
          <w:lang w:val="en-US"/>
        </w:rPr>
        <w:t xml:space="preserve"> can be selected based on current government policies, the choice of </w:t>
      </w:r>
      <w:r w:rsidRPr="00541E47">
        <w:rPr>
          <w:color w:val="000000" w:themeColor="text1"/>
        </w:rPr>
        <w:t>a savings-investment closure</w:t>
      </w:r>
      <w:r w:rsidRPr="00541E47">
        <w:rPr>
          <w:color w:val="000000" w:themeColor="text1"/>
          <w:lang w:val="en-US"/>
        </w:rPr>
        <w:t xml:space="preserve"> is less obvious. </w:t>
      </w:r>
      <w:r w:rsidR="00857672" w:rsidRPr="00541E47">
        <w:rPr>
          <w:color w:val="000000" w:themeColor="text1"/>
          <w:lang w:val="en-US"/>
        </w:rPr>
        <w:t>As</w:t>
      </w:r>
      <w:r w:rsidR="001050BA" w:rsidRPr="00541E47">
        <w:rPr>
          <w:color w:val="000000" w:themeColor="text1"/>
          <w:lang w:val="en-US"/>
        </w:rPr>
        <w:t xml:space="preserve"> Senegal cannot borrow without any limits</w:t>
      </w:r>
      <w:r w:rsidR="00E56A5B" w:rsidRPr="00541E47">
        <w:rPr>
          <w:color w:val="000000" w:themeColor="text1"/>
          <w:lang w:val="en-US"/>
        </w:rPr>
        <w:t xml:space="preserve"> </w:t>
      </w:r>
      <w:r w:rsidR="00A92CC8" w:rsidRPr="00541E47">
        <w:rPr>
          <w:color w:val="000000" w:themeColor="text1"/>
          <w:lang w:val="en-US"/>
        </w:rPr>
        <w:t xml:space="preserve">mainly </w:t>
      </w:r>
      <w:r w:rsidR="00E56A5B" w:rsidRPr="00541E47">
        <w:rPr>
          <w:color w:val="000000" w:themeColor="text1"/>
          <w:lang w:val="en-US"/>
        </w:rPr>
        <w:t xml:space="preserve">due to </w:t>
      </w:r>
      <w:r w:rsidR="00A92CC8" w:rsidRPr="00541E47">
        <w:rPr>
          <w:color w:val="000000" w:themeColor="text1"/>
          <w:lang w:val="en-US"/>
        </w:rPr>
        <w:t xml:space="preserve">convergence criteria established by the </w:t>
      </w:r>
      <w:r w:rsidR="00E56A5B" w:rsidRPr="00541E47">
        <w:rPr>
          <w:color w:val="000000" w:themeColor="text1"/>
          <w:lang w:val="en-US"/>
        </w:rPr>
        <w:t>W</w:t>
      </w:r>
      <w:r w:rsidR="00DE484C" w:rsidRPr="00541E47">
        <w:rPr>
          <w:color w:val="000000" w:themeColor="text1"/>
          <w:lang w:val="en-US"/>
        </w:rPr>
        <w:t xml:space="preserve">est African </w:t>
      </w:r>
      <w:r w:rsidR="00A92CC8" w:rsidRPr="00541E47">
        <w:rPr>
          <w:color w:val="000000" w:themeColor="text1"/>
          <w:lang w:val="en-US"/>
        </w:rPr>
        <w:t>E</w:t>
      </w:r>
      <w:r w:rsidR="00DE484C" w:rsidRPr="00541E47">
        <w:rPr>
          <w:color w:val="000000" w:themeColor="text1"/>
          <w:lang w:val="en-US"/>
        </w:rPr>
        <w:t xml:space="preserve">conomic and </w:t>
      </w:r>
      <w:r w:rsidR="00A92CC8" w:rsidRPr="00541E47">
        <w:rPr>
          <w:color w:val="000000" w:themeColor="text1"/>
          <w:lang w:val="en-US"/>
        </w:rPr>
        <w:t>M</w:t>
      </w:r>
      <w:r w:rsidR="00DE484C" w:rsidRPr="00541E47">
        <w:rPr>
          <w:color w:val="000000" w:themeColor="text1"/>
          <w:lang w:val="en-US"/>
        </w:rPr>
        <w:t xml:space="preserve">onetary </w:t>
      </w:r>
      <w:r w:rsidR="00A92CC8" w:rsidRPr="00541E47">
        <w:rPr>
          <w:color w:val="000000" w:themeColor="text1"/>
          <w:lang w:val="en-US"/>
        </w:rPr>
        <w:t>U</w:t>
      </w:r>
      <w:r w:rsidR="00DE484C" w:rsidRPr="00541E47">
        <w:rPr>
          <w:color w:val="000000" w:themeColor="text1"/>
          <w:lang w:val="en-US"/>
        </w:rPr>
        <w:t>nion (W</w:t>
      </w:r>
      <w:r w:rsidR="00E56A5B" w:rsidRPr="00541E47">
        <w:rPr>
          <w:color w:val="000000" w:themeColor="text1"/>
          <w:lang w:val="en-US"/>
        </w:rPr>
        <w:t>AEMU</w:t>
      </w:r>
      <w:r w:rsidR="00DE484C" w:rsidRPr="00541E47">
        <w:rPr>
          <w:color w:val="000000" w:themeColor="text1"/>
          <w:lang w:val="en-US"/>
        </w:rPr>
        <w:t>)</w:t>
      </w:r>
      <w:r w:rsidR="001050BA" w:rsidRPr="00541E47">
        <w:rPr>
          <w:color w:val="000000" w:themeColor="text1"/>
          <w:lang w:val="en-US"/>
        </w:rPr>
        <w:t>, the long-</w:t>
      </w:r>
      <w:r w:rsidR="00A92CC8" w:rsidRPr="00541E47">
        <w:rPr>
          <w:color w:val="000000" w:themeColor="text1"/>
          <w:lang w:val="en-US"/>
        </w:rPr>
        <w:t>term</w:t>
      </w:r>
      <w:r w:rsidR="001050BA" w:rsidRPr="00541E47">
        <w:rPr>
          <w:color w:val="000000" w:themeColor="text1"/>
          <w:lang w:val="en-US"/>
        </w:rPr>
        <w:t xml:space="preserve"> savings-investment </w:t>
      </w:r>
      <w:r w:rsidR="00A92CC8" w:rsidRPr="00541E47">
        <w:rPr>
          <w:color w:val="000000" w:themeColor="text1"/>
          <w:lang w:val="en-US"/>
        </w:rPr>
        <w:t xml:space="preserve">linkage </w:t>
      </w:r>
      <w:r w:rsidR="000B1FD3" w:rsidRPr="00541E47">
        <w:rPr>
          <w:color w:val="000000" w:themeColor="text1"/>
          <w:lang w:val="en-US"/>
        </w:rPr>
        <w:t xml:space="preserve">is </w:t>
      </w:r>
      <w:r w:rsidR="001050BA" w:rsidRPr="00541E47">
        <w:rPr>
          <w:color w:val="000000" w:themeColor="text1"/>
          <w:lang w:val="en-US"/>
        </w:rPr>
        <w:t>characterized by exogenous savings with no feedback</w:t>
      </w:r>
      <w:r w:rsidR="004B0ABC" w:rsidRPr="00541E47">
        <w:rPr>
          <w:color w:val="000000" w:themeColor="text1"/>
          <w:lang w:val="en-US"/>
        </w:rPr>
        <w:t xml:space="preserve"> response</w:t>
      </w:r>
      <w:r w:rsidR="001050BA" w:rsidRPr="00541E47">
        <w:rPr>
          <w:color w:val="000000" w:themeColor="text1"/>
          <w:lang w:val="en-US"/>
        </w:rPr>
        <w:t xml:space="preserve"> from investment</w:t>
      </w:r>
      <w:r w:rsidR="004B0ABC" w:rsidRPr="00541E47">
        <w:rPr>
          <w:color w:val="000000" w:themeColor="text1"/>
          <w:lang w:val="en-US"/>
        </w:rPr>
        <w:t xml:space="preserve"> behavior</w:t>
      </w:r>
      <w:r w:rsidR="000B1FD3" w:rsidRPr="00541E47">
        <w:rPr>
          <w:color w:val="000000" w:themeColor="text1"/>
          <w:lang w:val="en-US"/>
        </w:rPr>
        <w:t xml:space="preserve">. </w:t>
      </w:r>
      <w:r w:rsidRPr="00541E47">
        <w:rPr>
          <w:color w:val="000000" w:themeColor="text1"/>
          <w:lang w:val="en-US"/>
        </w:rPr>
        <w:t>Therefore the model adopts a savings-driven closure, in which the savings rates of domestic institutions are fixed, and investment</w:t>
      </w:r>
      <w:r w:rsidR="00A92CC8" w:rsidRPr="00541E47">
        <w:rPr>
          <w:color w:val="000000" w:themeColor="text1"/>
          <w:lang w:val="en-US"/>
        </w:rPr>
        <w:t>s</w:t>
      </w:r>
      <w:r w:rsidRPr="00541E47">
        <w:rPr>
          <w:color w:val="000000" w:themeColor="text1"/>
          <w:lang w:val="en-US"/>
        </w:rPr>
        <w:t xml:space="preserve"> adjust </w:t>
      </w:r>
      <w:r w:rsidR="00A92CC8" w:rsidRPr="00541E47">
        <w:rPr>
          <w:color w:val="000000" w:themeColor="text1"/>
          <w:lang w:val="en-US"/>
        </w:rPr>
        <w:t xml:space="preserve">in a passive manner </w:t>
      </w:r>
      <w:r w:rsidRPr="00541E47">
        <w:rPr>
          <w:color w:val="000000" w:themeColor="text1"/>
          <w:lang w:val="en-US"/>
        </w:rPr>
        <w:t xml:space="preserve">to ensure </w:t>
      </w:r>
      <w:r w:rsidR="00EC05D4" w:rsidRPr="00541E47">
        <w:rPr>
          <w:color w:val="000000" w:themeColor="text1"/>
          <w:lang w:val="en-US"/>
        </w:rPr>
        <w:t>an equal</w:t>
      </w:r>
      <w:r w:rsidR="00A92CC8" w:rsidRPr="00541E47">
        <w:rPr>
          <w:color w:val="000000" w:themeColor="text1"/>
          <w:lang w:val="en-US"/>
        </w:rPr>
        <w:t xml:space="preserve"> level of equilibrium </w:t>
      </w:r>
      <w:r w:rsidR="001A026A" w:rsidRPr="00541E47">
        <w:rPr>
          <w:color w:val="000000" w:themeColor="text1"/>
          <w:lang w:val="en-US"/>
        </w:rPr>
        <w:t>between savings</w:t>
      </w:r>
      <w:r w:rsidRPr="00541E47">
        <w:rPr>
          <w:color w:val="000000" w:themeColor="text1"/>
          <w:lang w:val="en-US"/>
        </w:rPr>
        <w:t xml:space="preserve"> </w:t>
      </w:r>
      <w:r w:rsidR="00EC05D4" w:rsidRPr="00541E47">
        <w:rPr>
          <w:color w:val="000000" w:themeColor="text1"/>
          <w:lang w:val="en-US"/>
        </w:rPr>
        <w:t>and</w:t>
      </w:r>
      <w:r w:rsidRPr="00541E47">
        <w:rPr>
          <w:color w:val="000000" w:themeColor="text1"/>
          <w:lang w:val="en-US"/>
        </w:rPr>
        <w:t xml:space="preserve"> investment spending. However, the inclusion of dynamics into the model allows past investment</w:t>
      </w:r>
      <w:r w:rsidR="00EC05D4" w:rsidRPr="00541E47">
        <w:rPr>
          <w:color w:val="000000" w:themeColor="text1"/>
          <w:lang w:val="en-US"/>
        </w:rPr>
        <w:t>s</w:t>
      </w:r>
      <w:r w:rsidRPr="00541E47">
        <w:rPr>
          <w:color w:val="000000" w:themeColor="text1"/>
          <w:lang w:val="en-US"/>
        </w:rPr>
        <w:t xml:space="preserve"> to influence economic growth, and thereby the level of savings available for investment</w:t>
      </w:r>
      <w:r w:rsidR="00EC05D4" w:rsidRPr="00541E47">
        <w:rPr>
          <w:color w:val="000000" w:themeColor="text1"/>
          <w:lang w:val="en-US"/>
        </w:rPr>
        <w:t>s</w:t>
      </w:r>
      <w:r w:rsidRPr="00541E47">
        <w:rPr>
          <w:color w:val="000000" w:themeColor="text1"/>
          <w:lang w:val="en-US"/>
        </w:rPr>
        <w:t xml:space="preserve"> in the current period. The </w:t>
      </w:r>
      <w:r w:rsidR="00EC05D4" w:rsidRPr="00541E47">
        <w:rPr>
          <w:color w:val="000000" w:themeColor="text1"/>
          <w:lang w:val="en-US"/>
        </w:rPr>
        <w:t>model</w:t>
      </w:r>
      <w:r w:rsidR="003F4EC3" w:rsidRPr="00541E47">
        <w:rPr>
          <w:color w:val="000000" w:themeColor="text1"/>
          <w:lang w:val="en-US"/>
        </w:rPr>
        <w:t>’s</w:t>
      </w:r>
      <w:r w:rsidR="00EC05D4" w:rsidRPr="00541E47">
        <w:rPr>
          <w:color w:val="000000" w:themeColor="text1"/>
          <w:lang w:val="en-US"/>
        </w:rPr>
        <w:t xml:space="preserve"> </w:t>
      </w:r>
      <w:r w:rsidRPr="00541E47">
        <w:rPr>
          <w:color w:val="000000" w:themeColor="text1"/>
          <w:lang w:val="en-US"/>
        </w:rPr>
        <w:t>dynamics are discussed below.</w:t>
      </w:r>
    </w:p>
    <w:p w:rsidR="00106054" w:rsidRPr="00541E47" w:rsidRDefault="00106054" w:rsidP="000115EF">
      <w:pPr>
        <w:jc w:val="both"/>
        <w:rPr>
          <w:color w:val="000000" w:themeColor="text1"/>
          <w:lang w:val="en-US"/>
        </w:rPr>
      </w:pPr>
      <w:r w:rsidRPr="00541E47">
        <w:rPr>
          <w:color w:val="000000" w:themeColor="text1"/>
          <w:lang w:val="en-US"/>
        </w:rPr>
        <w:t xml:space="preserve">Finally, the </w:t>
      </w:r>
      <w:r w:rsidR="00DA70AE" w:rsidRPr="00541E47">
        <w:rPr>
          <w:color w:val="000000" w:themeColor="text1"/>
          <w:lang w:val="en-US"/>
        </w:rPr>
        <w:t xml:space="preserve">exchange rate is chosen as the </w:t>
      </w:r>
      <w:r w:rsidR="00DA70AE" w:rsidRPr="00541E47">
        <w:rPr>
          <w:color w:val="000000" w:themeColor="text1"/>
        </w:rPr>
        <w:t>nume</w:t>
      </w:r>
      <w:r w:rsidRPr="00541E47">
        <w:rPr>
          <w:color w:val="000000" w:themeColor="text1"/>
        </w:rPr>
        <w:t>raire</w:t>
      </w:r>
      <w:r w:rsidRPr="00541E47">
        <w:rPr>
          <w:color w:val="000000" w:themeColor="text1"/>
          <w:lang w:val="en-US"/>
        </w:rPr>
        <w:t xml:space="preserve">. The model is also </w:t>
      </w:r>
      <w:r w:rsidRPr="00541E47">
        <w:rPr>
          <w:color w:val="000000" w:themeColor="text1"/>
        </w:rPr>
        <w:t>homogenous of degree zero in prices,</w:t>
      </w:r>
      <w:r w:rsidRPr="00541E47">
        <w:rPr>
          <w:color w:val="000000" w:themeColor="text1"/>
          <w:lang w:val="en-US"/>
        </w:rPr>
        <w:t xml:space="preserve"> implying that doubling all prices does not alter the </w:t>
      </w:r>
      <w:r w:rsidR="00EC05D4" w:rsidRPr="00541E47">
        <w:rPr>
          <w:color w:val="000000" w:themeColor="text1"/>
          <w:lang w:val="en-US"/>
        </w:rPr>
        <w:t xml:space="preserve">actual </w:t>
      </w:r>
      <w:r w:rsidRPr="00541E47">
        <w:rPr>
          <w:color w:val="000000" w:themeColor="text1"/>
          <w:lang w:val="en-US"/>
        </w:rPr>
        <w:t>allocation of resources.</w:t>
      </w:r>
    </w:p>
    <w:p w:rsidR="00106054" w:rsidRPr="00541E47" w:rsidRDefault="00106054" w:rsidP="000115EF">
      <w:pPr>
        <w:jc w:val="both"/>
        <w:rPr>
          <w:color w:val="000000" w:themeColor="text1"/>
          <w:lang w:val="en-US"/>
        </w:rPr>
      </w:pPr>
    </w:p>
    <w:p w:rsidR="00106054" w:rsidRPr="00541E47" w:rsidRDefault="008D0138" w:rsidP="000115EF">
      <w:pPr>
        <w:pStyle w:val="Titre2"/>
        <w:spacing w:line="240" w:lineRule="auto"/>
        <w:jc w:val="both"/>
        <w:rPr>
          <w:rFonts w:cs="Times New Roman"/>
          <w:color w:val="000000" w:themeColor="text1"/>
          <w:lang w:val="en-US"/>
        </w:rPr>
      </w:pPr>
      <w:bookmarkStart w:id="6" w:name="_Toc189443943"/>
      <w:r w:rsidRPr="00541E47">
        <w:rPr>
          <w:rFonts w:cs="Times New Roman"/>
          <w:color w:val="000000" w:themeColor="text1"/>
          <w:lang w:val="en-US"/>
        </w:rPr>
        <w:t>2</w:t>
      </w:r>
      <w:r w:rsidR="00D4272C" w:rsidRPr="00541E47">
        <w:rPr>
          <w:rFonts w:cs="Times New Roman"/>
          <w:color w:val="000000" w:themeColor="text1"/>
          <w:lang w:val="en-US"/>
        </w:rPr>
        <w:t>.</w:t>
      </w:r>
      <w:r w:rsidR="00397C57" w:rsidRPr="00541E47">
        <w:rPr>
          <w:rFonts w:cs="Times New Roman"/>
          <w:color w:val="000000" w:themeColor="text1"/>
          <w:lang w:val="en-US"/>
        </w:rPr>
        <w:t>2</w:t>
      </w:r>
      <w:r w:rsidR="00781D7F" w:rsidRPr="00541E47">
        <w:rPr>
          <w:rFonts w:cs="Times New Roman"/>
          <w:color w:val="000000" w:themeColor="text1"/>
          <w:lang w:val="en-US"/>
        </w:rPr>
        <w:t>.</w:t>
      </w:r>
      <w:r w:rsidR="00C52CCA">
        <w:rPr>
          <w:rFonts w:cs="Times New Roman"/>
          <w:color w:val="000000" w:themeColor="text1"/>
          <w:lang w:val="en-US"/>
        </w:rPr>
        <w:t>2 Between-period s</w:t>
      </w:r>
      <w:r w:rsidR="00106054" w:rsidRPr="00541E47">
        <w:rPr>
          <w:rFonts w:cs="Times New Roman"/>
          <w:color w:val="000000" w:themeColor="text1"/>
          <w:lang w:val="en-US"/>
        </w:rPr>
        <w:t>pecification</w:t>
      </w:r>
      <w:bookmarkEnd w:id="6"/>
    </w:p>
    <w:p w:rsidR="00106054" w:rsidRPr="00541E47" w:rsidRDefault="00106054" w:rsidP="000115EF">
      <w:pPr>
        <w:jc w:val="both"/>
        <w:rPr>
          <w:color w:val="000000" w:themeColor="text1"/>
          <w:lang w:val="en-US"/>
        </w:rPr>
      </w:pPr>
      <w:r w:rsidRPr="00541E47">
        <w:rPr>
          <w:color w:val="000000" w:themeColor="text1"/>
          <w:lang w:val="en-US"/>
        </w:rPr>
        <w:t>While the static model described above is detailed in its representation of the S</w:t>
      </w:r>
      <w:r w:rsidR="00DA70AE" w:rsidRPr="00541E47">
        <w:rPr>
          <w:color w:val="000000" w:themeColor="text1"/>
          <w:lang w:val="en-US"/>
        </w:rPr>
        <w:t xml:space="preserve">enegalese </w:t>
      </w:r>
      <w:r w:rsidRPr="00541E47">
        <w:rPr>
          <w:color w:val="000000" w:themeColor="text1"/>
          <w:lang w:val="en-US"/>
        </w:rPr>
        <w:t xml:space="preserve">economy within a particular time-period, its inability to account for second-period considerations limits its assessment of the full effect of policy and non-policy changes. For example, the model is unable to account for the second-period effect that current investment </w:t>
      </w:r>
      <w:r w:rsidR="00EC05D4" w:rsidRPr="00541E47">
        <w:rPr>
          <w:color w:val="000000" w:themeColor="text1"/>
          <w:lang w:val="en-US"/>
        </w:rPr>
        <w:t xml:space="preserve">changes </w:t>
      </w:r>
      <w:r w:rsidRPr="00541E47">
        <w:rPr>
          <w:color w:val="000000" w:themeColor="text1"/>
          <w:lang w:val="en-US"/>
        </w:rPr>
        <w:t xml:space="preserve">have on the subsequent availability of capital. In attempting to overcome these limitations, the static model is extended to a recursive dynamic model in which selected parameters are updated based on the </w:t>
      </w:r>
      <w:r w:rsidR="002B5FA0" w:rsidRPr="00541E47">
        <w:rPr>
          <w:color w:val="000000" w:themeColor="text1"/>
          <w:lang w:val="en-US"/>
        </w:rPr>
        <w:t>modeling</w:t>
      </w:r>
      <w:r w:rsidRPr="00541E47">
        <w:rPr>
          <w:color w:val="000000" w:themeColor="text1"/>
          <w:lang w:val="en-US"/>
        </w:rPr>
        <w:t xml:space="preserve"> of inter-temporal behavior and results from previous periods. Current economic conditions, such as the availability of capital, are thus endogenously </w:t>
      </w:r>
      <w:r w:rsidR="00EC05D4" w:rsidRPr="00541E47">
        <w:rPr>
          <w:color w:val="000000" w:themeColor="text1"/>
          <w:lang w:val="en-US"/>
        </w:rPr>
        <w:t>influenced by</w:t>
      </w:r>
      <w:r w:rsidRPr="00541E47">
        <w:rPr>
          <w:color w:val="000000" w:themeColor="text1"/>
          <w:lang w:val="en-US"/>
        </w:rPr>
        <w:t xml:space="preserve"> past outcomes, but remain unaffected by forward-looking expectations. The dynamic model is also exogenously updated to reflect demographic changes that are based on observed or separately</w:t>
      </w:r>
      <w:r w:rsidR="00066069" w:rsidRPr="00541E47">
        <w:rPr>
          <w:color w:val="000000" w:themeColor="text1"/>
          <w:lang w:val="en-US"/>
        </w:rPr>
        <w:t>-</w:t>
      </w:r>
      <w:r w:rsidRPr="00541E47">
        <w:rPr>
          <w:color w:val="000000" w:themeColor="text1"/>
          <w:lang w:val="en-US"/>
        </w:rPr>
        <w:t xml:space="preserve">calculated projected trends. </w:t>
      </w:r>
    </w:p>
    <w:p w:rsidR="00C55D01" w:rsidRPr="00541E47" w:rsidRDefault="00106054" w:rsidP="000115EF">
      <w:pPr>
        <w:jc w:val="both"/>
        <w:rPr>
          <w:bCs/>
          <w:color w:val="000000" w:themeColor="text1"/>
          <w:szCs w:val="26"/>
          <w:lang w:val="en-US"/>
        </w:rPr>
      </w:pPr>
      <w:r w:rsidRPr="00541E47">
        <w:rPr>
          <w:color w:val="000000" w:themeColor="text1"/>
          <w:lang w:val="en-US"/>
        </w:rPr>
        <w:lastRenderedPageBreak/>
        <w:t xml:space="preserve">The process of capital accumulation is </w:t>
      </w:r>
      <w:r w:rsidR="002B5FA0" w:rsidRPr="00541E47">
        <w:rPr>
          <w:color w:val="000000" w:themeColor="text1"/>
          <w:lang w:val="en-US"/>
        </w:rPr>
        <w:t>modeled</w:t>
      </w:r>
      <w:r w:rsidRPr="00541E47">
        <w:rPr>
          <w:color w:val="000000" w:themeColor="text1"/>
          <w:lang w:val="en-US"/>
        </w:rPr>
        <w:t xml:space="preserve"> endogenously</w:t>
      </w:r>
      <w:r w:rsidR="005012E7" w:rsidRPr="00541E47">
        <w:rPr>
          <w:color w:val="000000" w:themeColor="text1"/>
          <w:lang w:val="en-US"/>
        </w:rPr>
        <w:t>.</w:t>
      </w:r>
      <w:r w:rsidR="00DE484C" w:rsidRPr="00541E47">
        <w:rPr>
          <w:color w:val="000000" w:themeColor="text1"/>
          <w:lang w:val="en-US"/>
        </w:rPr>
        <w:t xml:space="preserve"> </w:t>
      </w:r>
      <w:r w:rsidR="00C55D01" w:rsidRPr="00541E47">
        <w:rPr>
          <w:bCs/>
          <w:color w:val="000000" w:themeColor="text1"/>
          <w:szCs w:val="26"/>
          <w:lang w:val="en-US"/>
        </w:rPr>
        <w:t xml:space="preserve">The stock of </w:t>
      </w:r>
      <w:r w:rsidR="002B5FA0" w:rsidRPr="00541E47">
        <w:rPr>
          <w:bCs/>
          <w:color w:val="000000" w:themeColor="text1"/>
          <w:szCs w:val="26"/>
          <w:lang w:val="en-CA"/>
        </w:rPr>
        <w:t>sectorial</w:t>
      </w:r>
      <w:r w:rsidR="00C55D01" w:rsidRPr="00541E47">
        <w:rPr>
          <w:bCs/>
          <w:color w:val="000000" w:themeColor="text1"/>
          <w:szCs w:val="26"/>
          <w:lang w:val="en-CA"/>
        </w:rPr>
        <w:t xml:space="preserve"> </w:t>
      </w:r>
      <w:r w:rsidR="00C55D01" w:rsidRPr="00541E47">
        <w:rPr>
          <w:bCs/>
          <w:color w:val="000000" w:themeColor="text1"/>
          <w:szCs w:val="26"/>
          <w:lang w:val="en-US"/>
        </w:rPr>
        <w:t xml:space="preserve">private capital at the end of the period is equal to </w:t>
      </w:r>
      <w:r w:rsidR="001A026A" w:rsidRPr="00541E47">
        <w:rPr>
          <w:bCs/>
          <w:color w:val="000000" w:themeColor="text1"/>
          <w:szCs w:val="26"/>
          <w:lang w:val="en-US"/>
        </w:rPr>
        <w:t>the previous</w:t>
      </w:r>
      <w:r w:rsidR="00C55D01" w:rsidRPr="00541E47">
        <w:rPr>
          <w:bCs/>
          <w:color w:val="000000" w:themeColor="text1"/>
          <w:szCs w:val="26"/>
          <w:lang w:val="en-US"/>
        </w:rPr>
        <w:t xml:space="preserve"> period </w:t>
      </w:r>
      <w:r w:rsidR="00EC05D4" w:rsidRPr="00541E47">
        <w:rPr>
          <w:bCs/>
          <w:color w:val="000000" w:themeColor="text1"/>
          <w:szCs w:val="26"/>
          <w:lang w:val="en-US"/>
        </w:rPr>
        <w:t xml:space="preserve">stock </w:t>
      </w:r>
      <w:r w:rsidR="00C55D01" w:rsidRPr="00541E47">
        <w:rPr>
          <w:bCs/>
          <w:color w:val="000000" w:themeColor="text1"/>
          <w:szCs w:val="26"/>
          <w:lang w:val="en-US"/>
        </w:rPr>
        <w:t>minus capital depreciation of the period to which the volume of capital accumulated during the period</w:t>
      </w:r>
      <w:r w:rsidR="00EC05D4" w:rsidRPr="00541E47">
        <w:rPr>
          <w:bCs/>
          <w:color w:val="000000" w:themeColor="text1"/>
          <w:szCs w:val="26"/>
          <w:lang w:val="en-US"/>
        </w:rPr>
        <w:t xml:space="preserve"> is added</w:t>
      </w:r>
      <w:r w:rsidR="00C55D01" w:rsidRPr="00541E47">
        <w:rPr>
          <w:bCs/>
          <w:color w:val="000000" w:themeColor="text1"/>
          <w:szCs w:val="26"/>
          <w:lang w:val="en-US"/>
        </w:rPr>
        <w:t xml:space="preserve">.  </w:t>
      </w:r>
    </w:p>
    <w:p w:rsidR="00C55D01" w:rsidRPr="00541E47" w:rsidRDefault="00C55D01" w:rsidP="000115EF">
      <w:pPr>
        <w:jc w:val="both"/>
        <w:rPr>
          <w:bCs/>
          <w:color w:val="000000" w:themeColor="text1"/>
          <w:szCs w:val="26"/>
          <w:lang w:val="en-US"/>
        </w:rPr>
      </w:pPr>
      <w:r w:rsidRPr="00541E47">
        <w:rPr>
          <w:bCs/>
          <w:color w:val="000000" w:themeColor="text1"/>
          <w:szCs w:val="26"/>
          <w:lang w:val="en-US"/>
        </w:rPr>
        <w:t xml:space="preserve">The rate of </w:t>
      </w:r>
      <w:r w:rsidRPr="00541E47">
        <w:rPr>
          <w:bCs/>
          <w:color w:val="000000" w:themeColor="text1"/>
          <w:szCs w:val="26"/>
          <w:lang w:val="en-CA"/>
        </w:rPr>
        <w:t>sectorial</w:t>
      </w:r>
      <w:r w:rsidRPr="00541E47">
        <w:rPr>
          <w:bCs/>
          <w:color w:val="000000" w:themeColor="text1"/>
          <w:szCs w:val="26"/>
          <w:lang w:val="en-US"/>
        </w:rPr>
        <w:t xml:space="preserve"> capital accumulation at period t is an increasing function of the cost - profit ratio of the capital of the same period, to a decreasing rate.  </w:t>
      </w:r>
    </w:p>
    <w:p w:rsidR="00106054" w:rsidRPr="00541E47" w:rsidRDefault="00106054" w:rsidP="000115EF">
      <w:pPr>
        <w:jc w:val="both"/>
        <w:rPr>
          <w:color w:val="000000" w:themeColor="text1"/>
          <w:lang w:val="en-US"/>
        </w:rPr>
      </w:pPr>
      <w:r w:rsidRPr="00541E47">
        <w:rPr>
          <w:color w:val="000000" w:themeColor="text1"/>
          <w:lang w:val="en-US"/>
        </w:rPr>
        <w:t xml:space="preserve">Population growth is exogenously </w:t>
      </w:r>
      <w:r w:rsidR="004B0ABC" w:rsidRPr="00541E47">
        <w:rPr>
          <w:color w:val="000000" w:themeColor="text1"/>
          <w:lang w:val="en-US"/>
        </w:rPr>
        <w:t>implemented within</w:t>
      </w:r>
      <w:r w:rsidRPr="00541E47">
        <w:rPr>
          <w:color w:val="000000" w:themeColor="text1"/>
          <w:lang w:val="en-US"/>
        </w:rPr>
        <w:t xml:space="preserve"> the model based on separately calculated growth projections. It is assumed that a growing population generates a higher level of consumption demand and therefore raises the supernumerary income level of household consumption. </w:t>
      </w:r>
      <w:r w:rsidR="00DE484C" w:rsidRPr="00541E47">
        <w:rPr>
          <w:color w:val="000000" w:themeColor="text1"/>
          <w:lang w:val="en-US"/>
        </w:rPr>
        <w:t xml:space="preserve">It </w:t>
      </w:r>
      <w:r w:rsidRPr="00541E47">
        <w:rPr>
          <w:color w:val="000000" w:themeColor="text1"/>
          <w:lang w:val="en-US"/>
        </w:rPr>
        <w:t xml:space="preserve">is assumed </w:t>
      </w:r>
      <w:r w:rsidR="000B2A4C" w:rsidRPr="00541E47">
        <w:rPr>
          <w:color w:val="000000" w:themeColor="text1"/>
          <w:lang w:val="en-US"/>
        </w:rPr>
        <w:t>that</w:t>
      </w:r>
      <w:r w:rsidRPr="00541E47">
        <w:rPr>
          <w:color w:val="000000" w:themeColor="text1"/>
          <w:lang w:val="en-US"/>
        </w:rPr>
        <w:t xml:space="preserve"> the marginal rate of consumption for commodities</w:t>
      </w:r>
      <w:r w:rsidR="000B2A4C" w:rsidRPr="00541E47">
        <w:rPr>
          <w:color w:val="000000" w:themeColor="text1"/>
          <w:lang w:val="en-US"/>
        </w:rPr>
        <w:t xml:space="preserve"> remain unchanged</w:t>
      </w:r>
      <w:r w:rsidRPr="00541E47">
        <w:rPr>
          <w:color w:val="000000" w:themeColor="text1"/>
          <w:lang w:val="en-US"/>
        </w:rPr>
        <w:t xml:space="preserve">, implying that new consumers have the same preferences as existing consumers. </w:t>
      </w:r>
      <w:r w:rsidR="00C55D01" w:rsidRPr="00541E47">
        <w:rPr>
          <w:color w:val="000000" w:themeColor="text1"/>
          <w:lang w:val="en-US"/>
        </w:rPr>
        <w:t xml:space="preserve">Labor supply is equal to the sum </w:t>
      </w:r>
      <w:r w:rsidR="003F4EC3" w:rsidRPr="00541E47">
        <w:rPr>
          <w:color w:val="000000" w:themeColor="text1"/>
          <w:lang w:val="en-US"/>
        </w:rPr>
        <w:t xml:space="preserve">of </w:t>
      </w:r>
      <w:r w:rsidR="00C55D01" w:rsidRPr="00541E47">
        <w:rPr>
          <w:color w:val="000000" w:themeColor="text1"/>
          <w:lang w:val="en-US"/>
        </w:rPr>
        <w:t xml:space="preserve">labor demand. </w:t>
      </w:r>
      <w:r w:rsidR="00971432" w:rsidRPr="00541E47">
        <w:rPr>
          <w:color w:val="000000" w:themeColor="text1"/>
          <w:lang w:val="en-US"/>
        </w:rPr>
        <w:t>T</w:t>
      </w:r>
      <w:r w:rsidRPr="00541E47">
        <w:rPr>
          <w:color w:val="000000" w:themeColor="text1"/>
          <w:lang w:val="en-US"/>
        </w:rPr>
        <w:t>ransfer</w:t>
      </w:r>
      <w:r w:rsidR="00971432" w:rsidRPr="00541E47">
        <w:rPr>
          <w:color w:val="000000" w:themeColor="text1"/>
          <w:lang w:val="en-US"/>
        </w:rPr>
        <w:t xml:space="preserve">s, </w:t>
      </w:r>
      <w:r w:rsidR="00DE484C" w:rsidRPr="00541E47">
        <w:rPr>
          <w:color w:val="000000" w:themeColor="text1"/>
          <w:lang w:val="en-US"/>
        </w:rPr>
        <w:t>l</w:t>
      </w:r>
      <w:r w:rsidR="00971432" w:rsidRPr="00541E47">
        <w:rPr>
          <w:color w:val="000000" w:themeColor="text1"/>
          <w:lang w:val="en-US"/>
        </w:rPr>
        <w:t>abor</w:t>
      </w:r>
      <w:r w:rsidR="008135A3" w:rsidRPr="00541E47">
        <w:rPr>
          <w:color w:val="000000" w:themeColor="text1"/>
          <w:lang w:val="en-US"/>
        </w:rPr>
        <w:t xml:space="preserve">, </w:t>
      </w:r>
      <w:r w:rsidR="00133AE7" w:rsidRPr="00541E47">
        <w:rPr>
          <w:color w:val="000000" w:themeColor="text1"/>
          <w:lang w:val="en-US"/>
        </w:rPr>
        <w:t xml:space="preserve">government consumption </w:t>
      </w:r>
      <w:r w:rsidR="000B2A4C" w:rsidRPr="00541E47">
        <w:rPr>
          <w:color w:val="000000" w:themeColor="text1"/>
          <w:lang w:val="en-US"/>
        </w:rPr>
        <w:t xml:space="preserve">and </w:t>
      </w:r>
      <w:r w:rsidR="008135A3" w:rsidRPr="00541E47">
        <w:rPr>
          <w:color w:val="000000" w:themeColor="text1"/>
          <w:lang w:val="en-US"/>
        </w:rPr>
        <w:t xml:space="preserve">the minimum level of consumption </w:t>
      </w:r>
      <w:r w:rsidR="000B2A4C" w:rsidRPr="00541E47">
        <w:rPr>
          <w:color w:val="000000" w:themeColor="text1"/>
          <w:lang w:val="en-US"/>
        </w:rPr>
        <w:t xml:space="preserve">are </w:t>
      </w:r>
      <w:r w:rsidRPr="00541E47">
        <w:rPr>
          <w:color w:val="000000" w:themeColor="text1"/>
          <w:lang w:val="en-US"/>
        </w:rPr>
        <w:t>also exogenously determined between periods</w:t>
      </w:r>
      <w:r w:rsidR="00971432" w:rsidRPr="00541E47">
        <w:rPr>
          <w:color w:val="000000" w:themeColor="text1"/>
          <w:lang w:val="en-US"/>
        </w:rPr>
        <w:t>.</w:t>
      </w:r>
      <w:r w:rsidRPr="00541E47">
        <w:rPr>
          <w:color w:val="000000" w:themeColor="text1"/>
          <w:lang w:val="en-US"/>
        </w:rPr>
        <w:t xml:space="preserve"> </w:t>
      </w:r>
    </w:p>
    <w:p w:rsidR="00106054" w:rsidRPr="00541E47" w:rsidRDefault="00106054" w:rsidP="000115EF">
      <w:pPr>
        <w:jc w:val="both"/>
        <w:rPr>
          <w:color w:val="000000" w:themeColor="text1"/>
          <w:lang w:val="en-US"/>
        </w:rPr>
      </w:pPr>
      <w:r w:rsidRPr="00541E47">
        <w:rPr>
          <w:color w:val="000000" w:themeColor="text1"/>
          <w:lang w:val="en-US"/>
        </w:rPr>
        <w:t>The S</w:t>
      </w:r>
      <w:r w:rsidR="008135A3" w:rsidRPr="00541E47">
        <w:rPr>
          <w:color w:val="000000" w:themeColor="text1"/>
          <w:lang w:val="en-US"/>
        </w:rPr>
        <w:t xml:space="preserve">enegalese </w:t>
      </w:r>
      <w:r w:rsidRPr="00541E47">
        <w:rPr>
          <w:color w:val="000000" w:themeColor="text1"/>
          <w:lang w:val="en-US"/>
        </w:rPr>
        <w:t xml:space="preserve">dynamic model is </w:t>
      </w:r>
      <w:r w:rsidR="000B2A4C" w:rsidRPr="00541E47">
        <w:rPr>
          <w:color w:val="000000" w:themeColor="text1"/>
          <w:lang w:val="en-US"/>
        </w:rPr>
        <w:t xml:space="preserve">treated </w:t>
      </w:r>
      <w:r w:rsidRPr="00541E47">
        <w:rPr>
          <w:color w:val="000000" w:themeColor="text1"/>
          <w:lang w:val="en-US"/>
        </w:rPr>
        <w:t>as a series of equilibri</w:t>
      </w:r>
      <w:r w:rsidR="00E3590D" w:rsidRPr="00541E47">
        <w:rPr>
          <w:color w:val="000000" w:themeColor="text1"/>
          <w:lang w:val="en-US"/>
        </w:rPr>
        <w:t>a</w:t>
      </w:r>
      <w:r w:rsidRPr="00541E47">
        <w:rPr>
          <w:color w:val="000000" w:themeColor="text1"/>
          <w:lang w:val="en-US"/>
        </w:rPr>
        <w:t xml:space="preserve">, each one representing a single year. By </w:t>
      </w:r>
      <w:r w:rsidR="000B2A4C" w:rsidRPr="00541E47">
        <w:rPr>
          <w:color w:val="000000" w:themeColor="text1"/>
          <w:lang w:val="en-US"/>
        </w:rPr>
        <w:t xml:space="preserve">performing </w:t>
      </w:r>
      <w:r w:rsidRPr="00541E47">
        <w:rPr>
          <w:color w:val="000000" w:themeColor="text1"/>
          <w:lang w:val="en-US"/>
        </w:rPr>
        <w:t xml:space="preserve">the above policy-independent dynamic adjustments, the model produces a projected or counterfactual growth path. Policy changes can then be expressed in terms of changes in </w:t>
      </w:r>
      <w:r w:rsidR="000B2A4C" w:rsidRPr="00541E47">
        <w:rPr>
          <w:color w:val="000000" w:themeColor="text1"/>
          <w:lang w:val="en-US"/>
        </w:rPr>
        <w:t xml:space="preserve">the </w:t>
      </w:r>
      <w:r w:rsidRPr="00541E47">
        <w:rPr>
          <w:color w:val="000000" w:themeColor="text1"/>
          <w:lang w:val="en-US"/>
        </w:rPr>
        <w:t>relevant exogenous parameters and the model is re</w:t>
      </w:r>
      <w:r w:rsidR="00066069" w:rsidRPr="00541E47">
        <w:rPr>
          <w:color w:val="000000" w:themeColor="text1"/>
          <w:lang w:val="en-US"/>
        </w:rPr>
        <w:t>-solved</w:t>
      </w:r>
      <w:r w:rsidRPr="00541E47">
        <w:rPr>
          <w:color w:val="000000" w:themeColor="text1"/>
          <w:lang w:val="en-US"/>
        </w:rPr>
        <w:t xml:space="preserve"> for a new series of </w:t>
      </w:r>
      <w:r w:rsidR="001A026A" w:rsidRPr="00541E47">
        <w:rPr>
          <w:color w:val="000000" w:themeColor="text1"/>
          <w:lang w:val="en-US"/>
        </w:rPr>
        <w:t>equilibria</w:t>
      </w:r>
      <w:r w:rsidRPr="00541E47">
        <w:rPr>
          <w:color w:val="000000" w:themeColor="text1"/>
          <w:lang w:val="en-US"/>
        </w:rPr>
        <w:t>. Difference between the policy-</w:t>
      </w:r>
      <w:r w:rsidR="003F4EC3" w:rsidRPr="00541E47">
        <w:rPr>
          <w:color w:val="000000" w:themeColor="text1"/>
          <w:lang w:val="en-US"/>
        </w:rPr>
        <w:t>based</w:t>
      </w:r>
      <w:r w:rsidRPr="00541E47">
        <w:rPr>
          <w:color w:val="000000" w:themeColor="text1"/>
          <w:lang w:val="en-US"/>
        </w:rPr>
        <w:t xml:space="preserve"> growth path and the counterfactual</w:t>
      </w:r>
      <w:r w:rsidR="003F4EC3" w:rsidRPr="00541E47">
        <w:rPr>
          <w:color w:val="000000" w:themeColor="text1"/>
          <w:lang w:val="en-US"/>
        </w:rPr>
        <w:t>’s</w:t>
      </w:r>
      <w:r w:rsidRPr="00541E47">
        <w:rPr>
          <w:color w:val="000000" w:themeColor="text1"/>
          <w:lang w:val="en-US"/>
        </w:rPr>
        <w:t xml:space="preserve"> can then be interpreted as the economy-wide impact of the </w:t>
      </w:r>
      <w:r w:rsidR="001A026A" w:rsidRPr="00541E47">
        <w:rPr>
          <w:color w:val="000000" w:themeColor="text1"/>
          <w:lang w:val="en-US"/>
        </w:rPr>
        <w:t>modeled policy</w:t>
      </w:r>
      <w:r w:rsidRPr="00541E47">
        <w:rPr>
          <w:color w:val="000000" w:themeColor="text1"/>
          <w:lang w:val="en-US"/>
        </w:rPr>
        <w:t xml:space="preserve">. </w:t>
      </w:r>
    </w:p>
    <w:p w:rsidR="00253101" w:rsidRPr="00541E47" w:rsidRDefault="00253101" w:rsidP="000115EF">
      <w:pPr>
        <w:jc w:val="both"/>
        <w:rPr>
          <w:b/>
          <w:bCs/>
          <w:color w:val="000000" w:themeColor="text1"/>
          <w:sz w:val="22"/>
          <w:szCs w:val="22"/>
        </w:rPr>
      </w:pPr>
    </w:p>
    <w:p w:rsidR="00EB4F56" w:rsidRPr="00541E47" w:rsidRDefault="008D0138" w:rsidP="000115EF">
      <w:pPr>
        <w:jc w:val="both"/>
        <w:rPr>
          <w:b/>
          <w:bCs/>
          <w:color w:val="000000" w:themeColor="text1"/>
          <w:szCs w:val="26"/>
          <w:lang w:val="en-CA"/>
        </w:rPr>
      </w:pPr>
      <w:r w:rsidRPr="00541E47">
        <w:rPr>
          <w:b/>
          <w:bCs/>
          <w:color w:val="000000" w:themeColor="text1"/>
          <w:szCs w:val="26"/>
          <w:lang w:val="en-CA"/>
        </w:rPr>
        <w:t>2</w:t>
      </w:r>
      <w:r w:rsidR="00D4272C" w:rsidRPr="00541E47">
        <w:rPr>
          <w:b/>
          <w:bCs/>
          <w:color w:val="000000" w:themeColor="text1"/>
          <w:szCs w:val="26"/>
          <w:lang w:val="en-CA"/>
        </w:rPr>
        <w:t>.</w:t>
      </w:r>
      <w:r w:rsidR="00397C57" w:rsidRPr="00541E47">
        <w:rPr>
          <w:b/>
          <w:bCs/>
          <w:color w:val="000000" w:themeColor="text1"/>
          <w:szCs w:val="26"/>
          <w:lang w:val="en-CA"/>
        </w:rPr>
        <w:t>2</w:t>
      </w:r>
      <w:r w:rsidR="00EE33F5" w:rsidRPr="00541E47">
        <w:rPr>
          <w:b/>
          <w:bCs/>
          <w:color w:val="000000" w:themeColor="text1"/>
          <w:szCs w:val="26"/>
          <w:lang w:val="en-CA"/>
        </w:rPr>
        <w:t xml:space="preserve">.3 </w:t>
      </w:r>
      <w:r w:rsidR="0061509F" w:rsidRPr="00541E47">
        <w:rPr>
          <w:b/>
          <w:bCs/>
          <w:color w:val="000000" w:themeColor="text1"/>
          <w:szCs w:val="26"/>
          <w:lang w:val="en-CA"/>
        </w:rPr>
        <w:t xml:space="preserve">The </w:t>
      </w:r>
      <w:r w:rsidR="001A1315" w:rsidRPr="00541E47">
        <w:rPr>
          <w:b/>
          <w:bCs/>
          <w:color w:val="000000" w:themeColor="text1"/>
          <w:szCs w:val="26"/>
          <w:lang w:val="en-CA"/>
        </w:rPr>
        <w:t xml:space="preserve">Poverty </w:t>
      </w:r>
      <w:r w:rsidR="0061509F" w:rsidRPr="00541E47">
        <w:rPr>
          <w:b/>
          <w:bCs/>
          <w:color w:val="000000" w:themeColor="text1"/>
          <w:szCs w:val="26"/>
          <w:lang w:val="en-CA"/>
        </w:rPr>
        <w:t>module</w:t>
      </w:r>
    </w:p>
    <w:p w:rsidR="0061509F" w:rsidRPr="00541E47" w:rsidRDefault="0061509F" w:rsidP="00447955">
      <w:pPr>
        <w:autoSpaceDE w:val="0"/>
        <w:autoSpaceDN w:val="0"/>
        <w:adjustRightInd w:val="0"/>
        <w:jc w:val="both"/>
        <w:rPr>
          <w:color w:val="000000" w:themeColor="text1"/>
        </w:rPr>
      </w:pPr>
      <w:r w:rsidRPr="00541E47">
        <w:rPr>
          <w:color w:val="000000" w:themeColor="text1"/>
        </w:rPr>
        <w:t>The standard CGE model generally covers a limited number of categories of households thus restricting its use in the analysis of poverty and distribution of revenue. More and more analysts choose to establish a link between the CGE model and data from a nationally representative household survey to analyze the microeconomic impacts of macroeconomic policies and shocks.</w:t>
      </w:r>
      <w:r w:rsidRPr="00541E47">
        <w:rPr>
          <w:rStyle w:val="Appelnotedebasdep"/>
          <w:color w:val="000000" w:themeColor="text1"/>
        </w:rPr>
        <w:footnoteReference w:id="6"/>
      </w:r>
      <w:r w:rsidRPr="00541E47">
        <w:rPr>
          <w:color w:val="000000" w:themeColor="text1"/>
        </w:rPr>
        <w:t xml:space="preserve"> Our analysis uses a top-down micro-accounting approach which proved more appropriate in the case of this study, given the difficulty in reconciling micro-households data with those of the SAMs.</w:t>
      </w:r>
      <w:r w:rsidR="00447955" w:rsidRPr="00541E47">
        <w:rPr>
          <w:color w:val="000000" w:themeColor="text1"/>
        </w:rPr>
        <w:t xml:space="preserve"> </w:t>
      </w:r>
      <w:r w:rsidRPr="00541E47">
        <w:rPr>
          <w:color w:val="000000" w:themeColor="text1"/>
        </w:rPr>
        <w:t>We first replicated the monetary poverty profile for the base year while taking into consideration the national poverty line. After the simulation, the change in consumption expenditures is computed from the CGE model and used to estimate new expenditures of real households in the survey. The poverty line is also updated through a change in consumer price indexes generated from the CGE model. Then, new poverty rates are estimated for the</w:t>
      </w:r>
      <w:r w:rsidR="00447955" w:rsidRPr="00541E47">
        <w:rPr>
          <w:color w:val="000000" w:themeColor="text1"/>
        </w:rPr>
        <w:t xml:space="preserve"> simulation</w:t>
      </w:r>
      <w:r w:rsidR="00F35358" w:rsidRPr="00541E47">
        <w:rPr>
          <w:color w:val="000000" w:themeColor="text1"/>
        </w:rPr>
        <w:t xml:space="preserve">. </w:t>
      </w:r>
    </w:p>
    <w:p w:rsidR="0061509F" w:rsidRPr="00541E47" w:rsidRDefault="0061509F" w:rsidP="000115EF">
      <w:pPr>
        <w:jc w:val="both"/>
        <w:rPr>
          <w:bCs/>
          <w:color w:val="000000" w:themeColor="text1"/>
          <w:szCs w:val="26"/>
          <w:lang w:val="en-US"/>
        </w:rPr>
      </w:pPr>
    </w:p>
    <w:p w:rsidR="0061509F" w:rsidRPr="00541E47" w:rsidRDefault="0061509F" w:rsidP="0061509F">
      <w:pPr>
        <w:jc w:val="both"/>
        <w:rPr>
          <w:color w:val="000000" w:themeColor="text1"/>
          <w:lang w:val="en-US"/>
        </w:rPr>
      </w:pPr>
      <w:r w:rsidRPr="00541E47">
        <w:rPr>
          <w:color w:val="000000" w:themeColor="text1"/>
          <w:lang w:val="en-US"/>
        </w:rPr>
        <w:t>Poverty analysis is done based on Foster, Greer and Thorbecke P</w:t>
      </w:r>
      <w:r w:rsidRPr="00541E47">
        <w:rPr>
          <w:color w:val="000000" w:themeColor="text1"/>
        </w:rPr>
        <w:sym w:font="Symbol" w:char="0061"/>
      </w:r>
      <w:r w:rsidRPr="00541E47">
        <w:rPr>
          <w:color w:val="000000" w:themeColor="text1"/>
          <w:lang w:val="en-US"/>
        </w:rPr>
        <w:t xml:space="preserve"> index (1984): </w:t>
      </w:r>
    </w:p>
    <w:p w:rsidR="0061509F" w:rsidRPr="00541E47" w:rsidRDefault="0061509F" w:rsidP="0061509F">
      <w:pPr>
        <w:jc w:val="both"/>
        <w:rPr>
          <w:color w:val="000000" w:themeColor="text1"/>
        </w:rPr>
      </w:pPr>
      <w:r w:rsidRPr="00541E47">
        <w:rPr>
          <w:color w:val="000000" w:themeColor="text1"/>
        </w:rPr>
        <w:object w:dxaOrig="12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46.9pt" o:ole="">
            <v:imagedata r:id="rId8" o:title=""/>
          </v:shape>
          <o:OLEObject Type="Embed" ProgID="Equation.3" ShapeID="_x0000_i1025" DrawAspect="Content" ObjectID="_1409646716" r:id="rId9"/>
        </w:object>
      </w:r>
    </w:p>
    <w:p w:rsidR="0061509F" w:rsidRPr="00541E47" w:rsidRDefault="0061509F" w:rsidP="0061509F">
      <w:pPr>
        <w:jc w:val="both"/>
        <w:rPr>
          <w:color w:val="000000" w:themeColor="text1"/>
          <w:lang w:val="en-US"/>
        </w:rPr>
      </w:pPr>
      <w:r w:rsidRPr="00541E47">
        <w:rPr>
          <w:color w:val="000000" w:themeColor="text1"/>
          <w:lang w:val="en-US"/>
        </w:rPr>
        <w:t xml:space="preserve">where z is the poverty line, yi the mean expenditure of the household i; </w:t>
      </w:r>
      <w:r w:rsidRPr="00541E47">
        <w:rPr>
          <w:color w:val="000000" w:themeColor="text1"/>
        </w:rPr>
        <w:sym w:font="Symbol" w:char="F061"/>
      </w:r>
      <w:r w:rsidRPr="00541E47">
        <w:rPr>
          <w:color w:val="000000" w:themeColor="text1"/>
          <w:lang w:val="en-US"/>
        </w:rPr>
        <w:t xml:space="preserve"> a coefficient expressing the level of aversion against poverty, n the total number of individuals, p the total number of poor within the population. Poverty index is computed based on the following variable of interest </w:t>
      </w:r>
      <w:r w:rsidRPr="00541E47">
        <w:rPr>
          <w:i/>
          <w:color w:val="000000" w:themeColor="text1"/>
          <w:lang w:val="en-US"/>
        </w:rPr>
        <w:t>expenditure per equivalent-adult</w:t>
      </w:r>
      <w:r w:rsidRPr="00541E47">
        <w:rPr>
          <w:color w:val="000000" w:themeColor="text1"/>
          <w:lang w:val="en-US"/>
        </w:rPr>
        <w:t>. Àt the base year (2005), the poverty line defined by the statistical office</w:t>
      </w:r>
      <w:r w:rsidRPr="00541E47">
        <w:rPr>
          <w:rStyle w:val="Appelnotedebasdep"/>
          <w:color w:val="000000" w:themeColor="text1"/>
          <w:lang w:val="en-US"/>
        </w:rPr>
        <w:footnoteReference w:id="7"/>
      </w:r>
      <w:r w:rsidRPr="00541E47">
        <w:rPr>
          <w:color w:val="000000" w:themeColor="text1"/>
          <w:lang w:val="en-US"/>
        </w:rPr>
        <w:t xml:space="preserve">, based on the household survey (ESPS, 2005) is 923.71, 661.76 and 561.22 FCFA/day/equivalent-adult </w:t>
      </w:r>
      <w:r w:rsidR="00447955" w:rsidRPr="00541E47">
        <w:rPr>
          <w:color w:val="000000" w:themeColor="text1"/>
          <w:lang w:val="en-US"/>
        </w:rPr>
        <w:t xml:space="preserve">respectively </w:t>
      </w:r>
      <w:r w:rsidRPr="00541E47">
        <w:rPr>
          <w:color w:val="000000" w:themeColor="text1"/>
          <w:lang w:val="en-US"/>
        </w:rPr>
        <w:t>in Dak</w:t>
      </w:r>
      <w:r w:rsidR="00447955" w:rsidRPr="00541E47">
        <w:rPr>
          <w:color w:val="000000" w:themeColor="text1"/>
          <w:lang w:val="en-US"/>
        </w:rPr>
        <w:t>a</w:t>
      </w:r>
      <w:r w:rsidRPr="00541E47">
        <w:rPr>
          <w:color w:val="000000" w:themeColor="text1"/>
          <w:lang w:val="en-US"/>
        </w:rPr>
        <w:t>r, the other cities and rural area</w:t>
      </w:r>
      <w:r w:rsidR="00564906" w:rsidRPr="00541E47">
        <w:rPr>
          <w:color w:val="000000" w:themeColor="text1"/>
          <w:lang w:val="en-US"/>
        </w:rPr>
        <w:t>.</w:t>
      </w:r>
    </w:p>
    <w:p w:rsidR="00397C57" w:rsidRPr="00541E47" w:rsidRDefault="00397C57" w:rsidP="000115EF">
      <w:pPr>
        <w:jc w:val="both"/>
        <w:textAlignment w:val="top"/>
        <w:rPr>
          <w:color w:val="000000" w:themeColor="text1"/>
          <w:sz w:val="20"/>
          <w:szCs w:val="20"/>
        </w:rPr>
      </w:pPr>
    </w:p>
    <w:p w:rsidR="00397C57" w:rsidRPr="00541E47" w:rsidRDefault="008D0138" w:rsidP="00397C57">
      <w:pPr>
        <w:jc w:val="both"/>
        <w:rPr>
          <w:b/>
          <w:bCs/>
          <w:color w:val="000000" w:themeColor="text1"/>
          <w:szCs w:val="26"/>
          <w:lang w:val="en-US"/>
        </w:rPr>
      </w:pPr>
      <w:bookmarkStart w:id="7" w:name="_Toc189443964"/>
      <w:r w:rsidRPr="00541E47">
        <w:rPr>
          <w:b/>
          <w:bCs/>
          <w:color w:val="000000" w:themeColor="text1"/>
          <w:szCs w:val="26"/>
          <w:lang w:val="en-US"/>
        </w:rPr>
        <w:t>2</w:t>
      </w:r>
      <w:r w:rsidR="00397C57" w:rsidRPr="00541E47">
        <w:rPr>
          <w:b/>
          <w:bCs/>
          <w:color w:val="000000" w:themeColor="text1"/>
          <w:szCs w:val="26"/>
          <w:lang w:val="en-US"/>
        </w:rPr>
        <w:t>. 3 Data and description of the economy</w:t>
      </w:r>
    </w:p>
    <w:p w:rsidR="00397C57" w:rsidRPr="00541E47" w:rsidRDefault="00397C57" w:rsidP="00397C57">
      <w:pPr>
        <w:jc w:val="both"/>
        <w:rPr>
          <w:b/>
          <w:color w:val="000000" w:themeColor="text1"/>
          <w:lang w:val="en-US"/>
        </w:rPr>
      </w:pPr>
    </w:p>
    <w:p w:rsidR="00397C57" w:rsidRPr="00541E47" w:rsidRDefault="008D0138" w:rsidP="00397C57">
      <w:pPr>
        <w:jc w:val="both"/>
        <w:rPr>
          <w:b/>
          <w:color w:val="000000" w:themeColor="text1"/>
          <w:lang w:val="en-US"/>
        </w:rPr>
      </w:pPr>
      <w:r w:rsidRPr="00541E47">
        <w:rPr>
          <w:b/>
          <w:color w:val="000000" w:themeColor="text1"/>
          <w:lang w:val="en-US"/>
        </w:rPr>
        <w:t>2</w:t>
      </w:r>
      <w:r w:rsidR="00397C57" w:rsidRPr="00541E47">
        <w:rPr>
          <w:b/>
          <w:color w:val="000000" w:themeColor="text1"/>
          <w:lang w:val="en-US"/>
        </w:rPr>
        <w:t xml:space="preserve">.3.1. The basic structure of the SAM </w:t>
      </w:r>
    </w:p>
    <w:p w:rsidR="00397C57" w:rsidRPr="00541E47" w:rsidRDefault="00397C57" w:rsidP="00397C57">
      <w:pPr>
        <w:autoSpaceDE w:val="0"/>
        <w:autoSpaceDN w:val="0"/>
        <w:adjustRightInd w:val="0"/>
        <w:jc w:val="both"/>
        <w:rPr>
          <w:color w:val="000000" w:themeColor="text1"/>
          <w:sz w:val="22"/>
          <w:szCs w:val="22"/>
          <w:lang w:val="en-US" w:eastAsia="en-US"/>
        </w:rPr>
      </w:pPr>
      <w:r w:rsidRPr="00541E47">
        <w:rPr>
          <w:color w:val="000000" w:themeColor="text1"/>
          <w:sz w:val="22"/>
          <w:szCs w:val="22"/>
          <w:lang w:val="en-US" w:eastAsia="en-US"/>
        </w:rPr>
        <w:t xml:space="preserve">The CGE model is calibrated to a 2005 social accounting matrix (SAM) (Cabral, Cisse and Sarr, 2008) which was constructed using information from </w:t>
      </w:r>
      <w:r w:rsidRPr="00541E47">
        <w:rPr>
          <w:color w:val="000000" w:themeColor="text1"/>
          <w:lang w:val="en-US"/>
        </w:rPr>
        <w:t>an input-output table (IOT) and a household survey performed in the same year (National Statistics and Demographics Agency, ANSD).</w:t>
      </w:r>
      <w:r w:rsidRPr="00541E47">
        <w:rPr>
          <w:color w:val="000000" w:themeColor="text1"/>
          <w:sz w:val="22"/>
          <w:szCs w:val="22"/>
          <w:lang w:val="en-US" w:eastAsia="en-US"/>
        </w:rPr>
        <w:t xml:space="preserve"> </w:t>
      </w:r>
      <w:r w:rsidRPr="00541E47">
        <w:rPr>
          <w:color w:val="000000" w:themeColor="text1"/>
          <w:lang w:val="en-US"/>
        </w:rPr>
        <w:t xml:space="preserve">The resulting </w:t>
      </w:r>
      <w:r w:rsidRPr="00541E47">
        <w:rPr>
          <w:color w:val="000000" w:themeColor="text1"/>
          <w:lang w:val="en-US"/>
        </w:rPr>
        <w:lastRenderedPageBreak/>
        <w:t>SAM is used to feed the general-equilibrium model described above</w:t>
      </w:r>
      <w:r w:rsidRPr="00541E47">
        <w:rPr>
          <w:color w:val="000000" w:themeColor="text1"/>
          <w:sz w:val="22"/>
          <w:szCs w:val="22"/>
          <w:lang w:val="en-US" w:eastAsia="en-US"/>
        </w:rPr>
        <w:t xml:space="preserve"> so that the initial equilibrium reproduces the base-year values from the SAM</w:t>
      </w:r>
      <w:r w:rsidRPr="00541E47">
        <w:rPr>
          <w:color w:val="000000" w:themeColor="text1"/>
          <w:lang w:val="en-US"/>
        </w:rPr>
        <w:t xml:space="preserve">. </w:t>
      </w:r>
      <w:r w:rsidR="00CC5D92" w:rsidRPr="00541E47">
        <w:rPr>
          <w:color w:val="000000" w:themeColor="text1"/>
          <w:lang w:val="en-US"/>
        </w:rPr>
        <w:t>The paramet</w:t>
      </w:r>
      <w:r w:rsidR="00C504CA" w:rsidRPr="00541E47">
        <w:rPr>
          <w:color w:val="000000" w:themeColor="text1"/>
          <w:lang w:val="en-US"/>
        </w:rPr>
        <w:t>ers for demand</w:t>
      </w:r>
      <w:r w:rsidR="00CC5D92" w:rsidRPr="00541E47">
        <w:rPr>
          <w:color w:val="000000" w:themeColor="text1"/>
          <w:lang w:val="en-US"/>
        </w:rPr>
        <w:t xml:space="preserve">, supply and trade functions are </w:t>
      </w:r>
      <w:r w:rsidRPr="00541E47">
        <w:rPr>
          <w:color w:val="000000" w:themeColor="text1"/>
          <w:sz w:val="22"/>
          <w:szCs w:val="22"/>
          <w:lang w:val="en-US" w:eastAsia="en-US"/>
        </w:rPr>
        <w:t>taken from Cabral</w:t>
      </w:r>
      <w:r w:rsidR="00CC5D92" w:rsidRPr="00541E47">
        <w:rPr>
          <w:color w:val="000000" w:themeColor="text1"/>
          <w:sz w:val="22"/>
          <w:szCs w:val="22"/>
          <w:lang w:val="en-US" w:eastAsia="en-US"/>
        </w:rPr>
        <w:t>, Cisse and Diagne (</w:t>
      </w:r>
      <w:r w:rsidRPr="00541E47">
        <w:rPr>
          <w:color w:val="000000" w:themeColor="text1"/>
          <w:sz w:val="22"/>
          <w:szCs w:val="22"/>
          <w:lang w:val="en-US" w:eastAsia="en-US"/>
        </w:rPr>
        <w:t>2010</w:t>
      </w:r>
      <w:r w:rsidR="00CC5D92" w:rsidRPr="00541E47">
        <w:rPr>
          <w:color w:val="000000" w:themeColor="text1"/>
          <w:sz w:val="22"/>
          <w:szCs w:val="22"/>
          <w:lang w:val="en-US" w:eastAsia="en-US"/>
        </w:rPr>
        <w:t>)</w:t>
      </w:r>
      <w:r w:rsidRPr="00541E47">
        <w:rPr>
          <w:color w:val="000000" w:themeColor="text1"/>
          <w:sz w:val="22"/>
          <w:szCs w:val="22"/>
          <w:lang w:val="en-US" w:eastAsia="en-US"/>
        </w:rPr>
        <w:t xml:space="preserve">. </w:t>
      </w:r>
    </w:p>
    <w:p w:rsidR="00CC5D92" w:rsidRPr="00541E47" w:rsidRDefault="00CC5D92" w:rsidP="00397C57">
      <w:pPr>
        <w:jc w:val="both"/>
        <w:rPr>
          <w:color w:val="000000" w:themeColor="text1"/>
          <w:lang w:val="en-US"/>
        </w:rPr>
      </w:pPr>
    </w:p>
    <w:p w:rsidR="00397C57" w:rsidRPr="00541E47" w:rsidRDefault="00CC5D92" w:rsidP="00397C57">
      <w:pPr>
        <w:jc w:val="both"/>
        <w:rPr>
          <w:color w:val="000000" w:themeColor="text1"/>
          <w:lang w:val="en-US"/>
        </w:rPr>
      </w:pPr>
      <w:r w:rsidRPr="00541E47">
        <w:rPr>
          <w:color w:val="000000" w:themeColor="text1"/>
          <w:lang w:val="en-US"/>
        </w:rPr>
        <w:t>In The SAM, production activities include agriculture, groundnut oil industries, other agri-food industries, as well as other (non agri-food) industries, tradable services and non-tradable services. The agricultural sector is further disaggregated into twelve sub-sectors: millet/sorghum, maize, rice, vegetable, fruit, groundnut, cotton, jatropha, sugarcane, livestock, fishing and the rest of agriculture. The</w:t>
      </w:r>
      <w:r w:rsidR="00397C57" w:rsidRPr="00541E47">
        <w:rPr>
          <w:color w:val="000000" w:themeColor="text1"/>
          <w:lang w:val="en-US"/>
        </w:rPr>
        <w:t xml:space="preserve"> households are distinguished into eight categories: households in Dakar as well as households in other cities, rural households of groundnut belt (ZBA), of livestock area (ZSP), of eastern Senegal (ZSO), of Casamance (ZS), of Niayes and of Senegalese river (ZF). </w:t>
      </w:r>
    </w:p>
    <w:p w:rsidR="00CC5D92" w:rsidRPr="00541E47" w:rsidRDefault="00CC5D92" w:rsidP="00397C57">
      <w:pPr>
        <w:jc w:val="both"/>
        <w:rPr>
          <w:color w:val="000000" w:themeColor="text1"/>
          <w:lang w:val="en-US"/>
        </w:rPr>
      </w:pPr>
    </w:p>
    <w:p w:rsidR="00397C57" w:rsidRPr="00541E47" w:rsidRDefault="008D0138" w:rsidP="00397C57">
      <w:pPr>
        <w:jc w:val="both"/>
        <w:rPr>
          <w:b/>
          <w:bCs/>
          <w:color w:val="000000" w:themeColor="text1"/>
          <w:sz w:val="22"/>
          <w:szCs w:val="22"/>
        </w:rPr>
      </w:pPr>
      <w:r w:rsidRPr="00541E47">
        <w:rPr>
          <w:b/>
          <w:bCs/>
          <w:color w:val="000000" w:themeColor="text1"/>
          <w:sz w:val="22"/>
          <w:szCs w:val="22"/>
        </w:rPr>
        <w:t>2</w:t>
      </w:r>
      <w:r w:rsidR="00397C57" w:rsidRPr="00541E47">
        <w:rPr>
          <w:b/>
          <w:bCs/>
          <w:color w:val="000000" w:themeColor="text1"/>
          <w:sz w:val="22"/>
          <w:szCs w:val="22"/>
        </w:rPr>
        <w:t xml:space="preserve">.3.2. Integrating the biofuel sector in the SAM </w:t>
      </w:r>
    </w:p>
    <w:p w:rsidR="00397C57" w:rsidRPr="00541E47" w:rsidRDefault="00397C57" w:rsidP="00397C57">
      <w:pPr>
        <w:pStyle w:val="Default"/>
        <w:jc w:val="both"/>
        <w:rPr>
          <w:rFonts w:ascii="Arial" w:eastAsia="Times New Roman" w:hAnsi="Arial" w:cs="Arial"/>
          <w:color w:val="000000" w:themeColor="text1"/>
        </w:rPr>
      </w:pPr>
      <w:r w:rsidRPr="00541E47">
        <w:rPr>
          <w:color w:val="000000" w:themeColor="text1"/>
          <w:sz w:val="22"/>
          <w:szCs w:val="22"/>
        </w:rPr>
        <w:t xml:space="preserve">Biofuels are currently little produced in Senegal and so there is initially no biofuels sector in the 2005 social accounting matrix. </w:t>
      </w:r>
      <w:r w:rsidRPr="00541E47">
        <w:rPr>
          <w:bCs/>
          <w:color w:val="000000" w:themeColor="text1"/>
          <w:sz w:val="22"/>
          <w:szCs w:val="22"/>
        </w:rPr>
        <w:t>The</w:t>
      </w:r>
      <w:r w:rsidRPr="00541E47">
        <w:rPr>
          <w:b/>
          <w:bCs/>
          <w:color w:val="000000" w:themeColor="text1"/>
          <w:sz w:val="22"/>
          <w:szCs w:val="22"/>
        </w:rPr>
        <w:t xml:space="preserve"> </w:t>
      </w:r>
      <w:r w:rsidRPr="00541E47">
        <w:rPr>
          <w:color w:val="000000" w:themeColor="text1"/>
        </w:rPr>
        <w:t xml:space="preserve">statistics on biofuel in the base year are very weak for some sectors (jatropha, sugarcane) and are quite inexistent for some of these sectors (biodiesel and biofuel). To integrate biofuel sector in the SAM, we following </w:t>
      </w:r>
      <w:r w:rsidRPr="00541E47">
        <w:rPr>
          <w:bCs/>
          <w:color w:val="000000" w:themeColor="text1"/>
        </w:rPr>
        <w:t>Channing, Pauw and Thurlow (2010) and Channing Arndt and al, 2008</w:t>
      </w:r>
      <w:r w:rsidRPr="00541E47">
        <w:rPr>
          <w:color w:val="000000" w:themeColor="text1"/>
        </w:rPr>
        <w:t xml:space="preserve"> </w:t>
      </w:r>
      <w:r w:rsidRPr="00541E47">
        <w:rPr>
          <w:bCs/>
          <w:color w:val="000000" w:themeColor="text1"/>
        </w:rPr>
        <w:t xml:space="preserve">approach. </w:t>
      </w:r>
      <w:r w:rsidRPr="00541E47">
        <w:rPr>
          <w:color w:val="000000" w:themeColor="text1"/>
        </w:rPr>
        <w:t>Some assumptions are made to introduce biodiesel sectors in the SAM. During the 2008-2009 crop years, the total area under cultivation of jatropha was estimated at 5293 ha (Dia et al., 2007). According to data collected on India, the yield of jatropha varies between 1.5 and 2 tons/ha. If the yield is set at 1.5 tons/ha, it gives 7939.5 tons of production. The unit cost of seeds was estimated at 100 FCFA / kg. As the selling price varies between 400 FCFA / kg and 600 FCFA / kg, a minimum producer price of 400 CFA / kg is set. Hence, production is estimated at 3,176 million FCFA in 2008-2009. In the base year which is 2005, we assume that 20% of this production is made. Therefore the supply is valued at 635.16 million FCFA. The policy goal of Senegal is to sow 320,000 ha to produce 3.2 million tons of jatropha by 2012. This production should help to bring to market a range of 1.134 billion liters of biodiesel (Dia et al., 2009). Priced at 105 euros per 100 liters, this potential production is estimated at 19.696 billion FCFA. If we suppose that only 20% of this production is assumed to be available in 2005, supply of biodiesel produced through traditional and secular channels and also through experimental productions</w:t>
      </w:r>
      <w:r w:rsidRPr="00541E47">
        <w:rPr>
          <w:rStyle w:val="Appelnotedebasdep"/>
          <w:color w:val="000000" w:themeColor="text1"/>
        </w:rPr>
        <w:footnoteReference w:id="8"/>
      </w:r>
      <w:r w:rsidRPr="00541E47">
        <w:rPr>
          <w:color w:val="000000" w:themeColor="text1"/>
        </w:rPr>
        <w:t xml:space="preserve"> is then estimated at 3.939 billion FCFA.</w:t>
      </w:r>
    </w:p>
    <w:p w:rsidR="00397C57" w:rsidRPr="00541E47" w:rsidRDefault="00397C57" w:rsidP="00397C57">
      <w:pPr>
        <w:jc w:val="both"/>
        <w:textAlignment w:val="top"/>
        <w:rPr>
          <w:color w:val="000000" w:themeColor="text1"/>
          <w:lang w:val="en-US"/>
        </w:rPr>
      </w:pPr>
    </w:p>
    <w:p w:rsidR="00372ADB" w:rsidRPr="00541E47" w:rsidRDefault="00397C57" w:rsidP="00397C57">
      <w:pPr>
        <w:jc w:val="both"/>
        <w:textAlignment w:val="top"/>
        <w:rPr>
          <w:color w:val="000000" w:themeColor="text1"/>
          <w:lang w:val="en-US"/>
        </w:rPr>
      </w:pPr>
      <w:r w:rsidRPr="00541E47">
        <w:rPr>
          <w:color w:val="000000" w:themeColor="text1"/>
          <w:lang w:val="en-US"/>
        </w:rPr>
        <w:t xml:space="preserve">Ethanol production is mainly due to the Senegalese Sugar Company (CSS), which opened in 2007, a distillery with a capacity of 60,000 liters/day. This is equivalent to a production of 21 900 m3 per year. The coefficient of conversion of sugarcane into </w:t>
      </w:r>
      <w:r w:rsidR="00372ADB" w:rsidRPr="00541E47">
        <w:rPr>
          <w:color w:val="000000" w:themeColor="text1"/>
          <w:lang w:val="en-US"/>
        </w:rPr>
        <w:t>molasses is equal to 1 ton of sugarcane to 35 kg of molasses. And 1 ton of molasses gives 270 tons of alcohol considered as ethanol. Therefore 21 900 00 m3 of ethanol is supposed to come from 81</w:t>
      </w:r>
      <w:r w:rsidR="001E1215" w:rsidRPr="00541E47">
        <w:rPr>
          <w:color w:val="000000" w:themeColor="text1"/>
          <w:lang w:val="en-US"/>
        </w:rPr>
        <w:t> </w:t>
      </w:r>
      <w:r w:rsidR="00372ADB" w:rsidRPr="00541E47">
        <w:rPr>
          <w:color w:val="000000" w:themeColor="text1"/>
          <w:lang w:val="en-US"/>
        </w:rPr>
        <w:t>111</w:t>
      </w:r>
      <w:r w:rsidR="001E1215" w:rsidRPr="00541E47">
        <w:rPr>
          <w:color w:val="000000" w:themeColor="text1"/>
          <w:lang w:val="en-US"/>
        </w:rPr>
        <w:t>.</w:t>
      </w:r>
      <w:r w:rsidR="00372ADB" w:rsidRPr="00541E47">
        <w:rPr>
          <w:color w:val="000000" w:themeColor="text1"/>
          <w:lang w:val="en-US"/>
        </w:rPr>
        <w:t xml:space="preserve">1 tons of molasses and require 2 317 460 tons of sugarcane. As CSS’s production of sugarcane is estimated at 829 490 tons in 2005, we assume that the company’s production is set at 36% required input for the distillery maximum capacity.     </w:t>
      </w:r>
    </w:p>
    <w:p w:rsidR="00397C57" w:rsidRPr="00541E47" w:rsidRDefault="00397C57" w:rsidP="00397C57">
      <w:pPr>
        <w:jc w:val="both"/>
        <w:textAlignment w:val="top"/>
        <w:rPr>
          <w:color w:val="000000" w:themeColor="text1"/>
          <w:lang w:val="en-US"/>
        </w:rPr>
      </w:pPr>
      <w:r w:rsidRPr="00541E47">
        <w:rPr>
          <w:color w:val="000000" w:themeColor="text1"/>
          <w:lang w:val="en-US"/>
        </w:rPr>
        <w:t>The technology of refined petroleum sector mainly represented by the African Refining Company (SAR) is given by the Senegalese input-output table. As for the biodiesel sector production, we assume that the share of value added in the production is about 60% of which 40% is allocated to labor and 60% to capital. However, we assume that the structure of its intermediate consumption is quite similar to the one of refined oil. In the bioethanol sector, we assume that the share of production allocated to the value added is 28% of which 25% is allocated to labor and 75% to capital. The structure of its intermediate consumption is also assumed to be almost similar to that of refined oil.</w:t>
      </w:r>
    </w:p>
    <w:p w:rsidR="00397C57" w:rsidRPr="00541E47" w:rsidRDefault="00397C57" w:rsidP="00397C57">
      <w:pPr>
        <w:jc w:val="both"/>
        <w:textAlignment w:val="top"/>
        <w:rPr>
          <w:color w:val="000000" w:themeColor="text1"/>
          <w:lang w:val="en-US"/>
        </w:rPr>
      </w:pPr>
    </w:p>
    <w:p w:rsidR="00C52CCA" w:rsidRDefault="00C52CCA" w:rsidP="00397C57">
      <w:pPr>
        <w:jc w:val="both"/>
        <w:rPr>
          <w:b/>
          <w:bCs/>
          <w:color w:val="000000" w:themeColor="text1"/>
          <w:sz w:val="22"/>
          <w:szCs w:val="22"/>
        </w:rPr>
      </w:pPr>
    </w:p>
    <w:p w:rsidR="00C52CCA" w:rsidRDefault="00C52CCA" w:rsidP="00397C57">
      <w:pPr>
        <w:jc w:val="both"/>
        <w:rPr>
          <w:b/>
          <w:bCs/>
          <w:color w:val="000000" w:themeColor="text1"/>
          <w:sz w:val="22"/>
          <w:szCs w:val="22"/>
        </w:rPr>
      </w:pPr>
    </w:p>
    <w:p w:rsidR="00397C57" w:rsidRPr="00541E47" w:rsidRDefault="008D0138" w:rsidP="00397C57">
      <w:pPr>
        <w:jc w:val="both"/>
        <w:rPr>
          <w:b/>
          <w:bCs/>
          <w:color w:val="000000" w:themeColor="text1"/>
          <w:sz w:val="22"/>
          <w:szCs w:val="22"/>
        </w:rPr>
      </w:pPr>
      <w:r w:rsidRPr="00541E47">
        <w:rPr>
          <w:b/>
          <w:bCs/>
          <w:color w:val="000000" w:themeColor="text1"/>
          <w:sz w:val="22"/>
          <w:szCs w:val="22"/>
        </w:rPr>
        <w:lastRenderedPageBreak/>
        <w:t>2</w:t>
      </w:r>
      <w:r w:rsidR="00397C57" w:rsidRPr="00541E47">
        <w:rPr>
          <w:b/>
          <w:bCs/>
          <w:color w:val="000000" w:themeColor="text1"/>
          <w:sz w:val="22"/>
          <w:szCs w:val="22"/>
        </w:rPr>
        <w:t>.3.3. The structure of the Senegalese economy</w:t>
      </w:r>
    </w:p>
    <w:p w:rsidR="005F3224" w:rsidRPr="00541E47" w:rsidRDefault="005F3224" w:rsidP="005F3224">
      <w:pPr>
        <w:autoSpaceDE w:val="0"/>
        <w:autoSpaceDN w:val="0"/>
        <w:adjustRightInd w:val="0"/>
        <w:jc w:val="both"/>
        <w:rPr>
          <w:rStyle w:val="longtext"/>
          <w:color w:val="000000" w:themeColor="text1"/>
        </w:rPr>
      </w:pPr>
      <w:r w:rsidRPr="00541E47">
        <w:rPr>
          <w:color w:val="000000" w:themeColor="text1"/>
        </w:rPr>
        <w:t>Senegal is classified as least developed countries with more than half of the population leaving under the poverty line (5</w:t>
      </w:r>
      <w:r w:rsidR="00D54554" w:rsidRPr="00541E47">
        <w:rPr>
          <w:color w:val="000000" w:themeColor="text1"/>
        </w:rPr>
        <w:t>0</w:t>
      </w:r>
      <w:r w:rsidR="0013763F" w:rsidRPr="00541E47">
        <w:rPr>
          <w:color w:val="000000" w:themeColor="text1"/>
        </w:rPr>
        <w:t>.</w:t>
      </w:r>
      <w:r w:rsidR="00D54554" w:rsidRPr="00541E47">
        <w:rPr>
          <w:color w:val="000000" w:themeColor="text1"/>
        </w:rPr>
        <w:t>7</w:t>
      </w:r>
      <w:r w:rsidRPr="00541E47">
        <w:rPr>
          <w:color w:val="000000" w:themeColor="text1"/>
        </w:rPr>
        <w:t xml:space="preserve"> percent). In the last decade, the economy was marked by the rapid development of the services sector fuelled by the telecommunication business. The table1 gives the gross domestic product (GDP) growth, and the contribution of the sectors to GDP growth from 1980 to 2010. </w:t>
      </w:r>
      <w:r w:rsidRPr="00541E47">
        <w:rPr>
          <w:rStyle w:val="longtext"/>
          <w:color w:val="000000" w:themeColor="text1"/>
        </w:rPr>
        <w:t>Between 1985 and 1993, despite the adjustment program in the medium and long term (PAMLT), economic activity in real terms grew annually by 2.3%. This rate of growth is only slightly above the population growth (2.4%). With the currency adjustment that occurred in 1994, the situation has changed significantly and the domestic economic activity recorded a favorable trend in subsequent years. GDP growth is estimated at 5.4% in 1998 and stands at 6.5% in 1999.</w:t>
      </w:r>
      <w:r w:rsidRPr="00541E47">
        <w:rPr>
          <w:color w:val="000000" w:themeColor="text1"/>
        </w:rPr>
        <w:t xml:space="preserve"> </w:t>
      </w:r>
      <w:r w:rsidRPr="00541E47">
        <w:rPr>
          <w:rStyle w:val="longtext"/>
          <w:color w:val="000000" w:themeColor="text1"/>
        </w:rPr>
        <w:t>In the period after 2000, the growth rate still recorded significant levels but remained relatively instable. While 2003, 2004 and 2005 was marked by strong GDP growth; it is otherwise in the years 2002, 2006, 2008 and 2009 where it has been marked by contraction in activity under the influence of climate and energy shocks and the financial crises. Consequently, the average growth rate of GDP has fallen in the last ten years below that of the population, making more difficult the efforts against poverty.</w:t>
      </w:r>
    </w:p>
    <w:tbl>
      <w:tblPr>
        <w:tblW w:w="5132" w:type="pct"/>
        <w:jc w:val="center"/>
        <w:tblLook w:val="04A0"/>
      </w:tblPr>
      <w:tblGrid>
        <w:gridCol w:w="1314"/>
        <w:gridCol w:w="590"/>
        <w:gridCol w:w="590"/>
        <w:gridCol w:w="590"/>
        <w:gridCol w:w="590"/>
        <w:gridCol w:w="536"/>
        <w:gridCol w:w="576"/>
        <w:gridCol w:w="536"/>
        <w:gridCol w:w="536"/>
        <w:gridCol w:w="536"/>
        <w:gridCol w:w="536"/>
        <w:gridCol w:w="536"/>
        <w:gridCol w:w="536"/>
        <w:gridCol w:w="536"/>
        <w:gridCol w:w="536"/>
        <w:gridCol w:w="536"/>
        <w:gridCol w:w="536"/>
        <w:gridCol w:w="536"/>
      </w:tblGrid>
      <w:tr w:rsidR="005F3224" w:rsidRPr="00541E47" w:rsidTr="008E5EEB">
        <w:trPr>
          <w:trHeight w:val="315"/>
          <w:jc w:val="center"/>
        </w:trPr>
        <w:tc>
          <w:tcPr>
            <w:tcW w:w="3889" w:type="pct"/>
            <w:gridSpan w:val="14"/>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rPr>
            </w:pPr>
            <w:r w:rsidRPr="00541E47">
              <w:rPr>
                <w:b/>
                <w:bCs/>
                <w:color w:val="000000" w:themeColor="text1"/>
              </w:rPr>
              <w:t>Table 1</w:t>
            </w:r>
            <w:r w:rsidRPr="00541E47">
              <w:rPr>
                <w:color w:val="000000" w:themeColor="text1"/>
              </w:rPr>
              <w:t>: Senegal, Trend of some macroeconomic indicators, 2001-2008</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rPr>
            </w:pP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rPr>
            </w:pPr>
          </w:p>
        </w:tc>
      </w:tr>
      <w:tr w:rsidR="005F3224" w:rsidRPr="00541E47" w:rsidTr="008E5EEB">
        <w:trPr>
          <w:trHeight w:val="495"/>
          <w:jc w:val="center"/>
        </w:trPr>
        <w:tc>
          <w:tcPr>
            <w:tcW w:w="591"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 </w:t>
            </w:r>
          </w:p>
        </w:tc>
        <w:tc>
          <w:tcPr>
            <w:tcW w:w="267" w:type="pct"/>
            <w:tcBorders>
              <w:top w:val="nil"/>
              <w:left w:val="nil"/>
              <w:bottom w:val="single" w:sz="8"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1980-1984</w:t>
            </w:r>
          </w:p>
        </w:tc>
        <w:tc>
          <w:tcPr>
            <w:tcW w:w="266" w:type="pct"/>
            <w:tcBorders>
              <w:top w:val="nil"/>
              <w:left w:val="nil"/>
              <w:bottom w:val="single" w:sz="8"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1985-1993</w:t>
            </w:r>
          </w:p>
        </w:tc>
        <w:tc>
          <w:tcPr>
            <w:tcW w:w="266" w:type="pct"/>
            <w:tcBorders>
              <w:top w:val="nil"/>
              <w:left w:val="nil"/>
              <w:bottom w:val="single" w:sz="8"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1994-1999</w:t>
            </w:r>
          </w:p>
        </w:tc>
        <w:tc>
          <w:tcPr>
            <w:tcW w:w="272" w:type="pct"/>
            <w:tcBorders>
              <w:top w:val="nil"/>
              <w:left w:val="nil"/>
              <w:bottom w:val="single" w:sz="8"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2000-2010</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1998</w:t>
            </w:r>
          </w:p>
        </w:tc>
        <w:tc>
          <w:tcPr>
            <w:tcW w:w="263"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1999</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2000</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2001</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2003</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2004</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2005</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2006</w:t>
            </w:r>
          </w:p>
        </w:tc>
        <w:tc>
          <w:tcPr>
            <w:tcW w:w="247" w:type="pct"/>
            <w:tcBorders>
              <w:top w:val="single" w:sz="8" w:space="0" w:color="auto"/>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2007</w:t>
            </w:r>
          </w:p>
        </w:tc>
        <w:tc>
          <w:tcPr>
            <w:tcW w:w="247" w:type="pct"/>
            <w:tcBorders>
              <w:top w:val="single" w:sz="8" w:space="0" w:color="auto"/>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2008</w:t>
            </w:r>
          </w:p>
        </w:tc>
        <w:tc>
          <w:tcPr>
            <w:tcW w:w="247" w:type="pct"/>
            <w:tcBorders>
              <w:top w:val="single" w:sz="8" w:space="0" w:color="auto"/>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2009</w:t>
            </w:r>
          </w:p>
        </w:tc>
        <w:tc>
          <w:tcPr>
            <w:tcW w:w="370" w:type="pct"/>
            <w:tcBorders>
              <w:top w:val="single" w:sz="8" w:space="0" w:color="auto"/>
              <w:left w:val="nil"/>
              <w:bottom w:val="single" w:sz="8"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2010</w:t>
            </w:r>
          </w:p>
        </w:tc>
      </w:tr>
      <w:tr w:rsidR="005F3224" w:rsidRPr="00541E47" w:rsidTr="008E5EEB">
        <w:trPr>
          <w:trHeight w:val="412"/>
          <w:jc w:val="center"/>
        </w:trPr>
        <w:tc>
          <w:tcPr>
            <w:tcW w:w="591" w:type="pct"/>
            <w:tcBorders>
              <w:top w:val="nil"/>
              <w:left w:val="nil"/>
              <w:bottom w:val="single" w:sz="8" w:space="0" w:color="auto"/>
              <w:right w:val="nil"/>
            </w:tcBorders>
            <w:shd w:val="clear" w:color="auto" w:fill="auto"/>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 xml:space="preserve">Constant GDP </w:t>
            </w:r>
            <w:r w:rsidRPr="00541E47">
              <w:rPr>
                <w:color w:val="000000" w:themeColor="text1"/>
                <w:sz w:val="16"/>
                <w:szCs w:val="16"/>
              </w:rPr>
              <w:br/>
              <w:t xml:space="preserve">growth (%) </w:t>
            </w:r>
          </w:p>
        </w:tc>
        <w:tc>
          <w:tcPr>
            <w:tcW w:w="26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2.4</w:t>
            </w:r>
          </w:p>
        </w:tc>
        <w:tc>
          <w:tcPr>
            <w:tcW w:w="266"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w:t>
            </w:r>
          </w:p>
        </w:tc>
        <w:tc>
          <w:tcPr>
            <w:tcW w:w="266"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3.8</w:t>
            </w:r>
          </w:p>
        </w:tc>
        <w:tc>
          <w:tcPr>
            <w:tcW w:w="27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4.1</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5.4</w:t>
            </w:r>
          </w:p>
        </w:tc>
        <w:tc>
          <w:tcPr>
            <w:tcW w:w="263"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6.5</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3.7</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4.9</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4.4</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3.0</w:t>
            </w:r>
          </w:p>
        </w:tc>
        <w:tc>
          <w:tcPr>
            <w:tcW w:w="370"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4.3</w:t>
            </w:r>
          </w:p>
        </w:tc>
      </w:tr>
      <w:tr w:rsidR="005F3224" w:rsidRPr="00541E47" w:rsidTr="008E5EEB">
        <w:trPr>
          <w:trHeight w:val="223"/>
          <w:jc w:val="center"/>
        </w:trPr>
        <w:tc>
          <w:tcPr>
            <w:tcW w:w="591"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GDP Share (%)</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r>
      <w:tr w:rsidR="005F3224" w:rsidRPr="00541E47" w:rsidTr="008E5EEB">
        <w:trPr>
          <w:trHeight w:val="255"/>
          <w:jc w:val="center"/>
        </w:trPr>
        <w:tc>
          <w:tcPr>
            <w:tcW w:w="591"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 xml:space="preserve">Primary sector </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22.4</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22.3</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20.6</w:t>
            </w: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16.8</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19.2</w:t>
            </w: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20.47</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20.2</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19.6</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15.7</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17.2</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16.6</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17.1</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15.2</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13.6</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17.1</w:t>
            </w: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17.3</w:t>
            </w:r>
          </w:p>
        </w:tc>
      </w:tr>
      <w:tr w:rsidR="005F3224" w:rsidRPr="00541E47" w:rsidTr="008E5EEB">
        <w:trPr>
          <w:trHeight w:val="405"/>
          <w:jc w:val="center"/>
        </w:trPr>
        <w:tc>
          <w:tcPr>
            <w:tcW w:w="591"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Secondary sector</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19.5</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20.6</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22.4</w:t>
            </w: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22.6</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23.2</w:t>
            </w: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21.99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22.2</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22.8</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24.0</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23.2</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23.1</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22.7</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23.0</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21.8</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21.4</w:t>
            </w: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21.7</w:t>
            </w:r>
          </w:p>
        </w:tc>
      </w:tr>
      <w:tr w:rsidR="005F3224" w:rsidRPr="00541E47" w:rsidTr="008E5EEB">
        <w:trPr>
          <w:trHeight w:val="330"/>
          <w:jc w:val="center"/>
        </w:trPr>
        <w:tc>
          <w:tcPr>
            <w:tcW w:w="591"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Tertiary sector</w:t>
            </w:r>
          </w:p>
        </w:tc>
        <w:tc>
          <w:tcPr>
            <w:tcW w:w="26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58.1</w:t>
            </w:r>
          </w:p>
        </w:tc>
        <w:tc>
          <w:tcPr>
            <w:tcW w:w="266"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57.1</w:t>
            </w:r>
          </w:p>
        </w:tc>
        <w:tc>
          <w:tcPr>
            <w:tcW w:w="266"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57.0</w:t>
            </w:r>
          </w:p>
        </w:tc>
        <w:tc>
          <w:tcPr>
            <w:tcW w:w="27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60.6</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57.6</w:t>
            </w:r>
          </w:p>
        </w:tc>
        <w:tc>
          <w:tcPr>
            <w:tcW w:w="263"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57.5</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57.6</w:t>
            </w:r>
          </w:p>
        </w:tc>
        <w:tc>
          <w:tcPr>
            <w:tcW w:w="242"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57.5</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60.3</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59.6</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60.2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60.2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62.3</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63.4</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62.8</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61.5</w:t>
            </w:r>
          </w:p>
        </w:tc>
        <w:tc>
          <w:tcPr>
            <w:tcW w:w="370"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61.1</w:t>
            </w:r>
          </w:p>
        </w:tc>
      </w:tr>
      <w:tr w:rsidR="005F3224" w:rsidRPr="00541E47" w:rsidTr="008E5EEB">
        <w:trPr>
          <w:trHeight w:val="187"/>
          <w:jc w:val="center"/>
        </w:trPr>
        <w:tc>
          <w:tcPr>
            <w:tcW w:w="591" w:type="pct"/>
            <w:tcBorders>
              <w:top w:val="nil"/>
              <w:left w:val="nil"/>
              <w:bottom w:val="nil"/>
              <w:right w:val="nil"/>
            </w:tcBorders>
            <w:shd w:val="clear" w:color="auto" w:fill="auto"/>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 xml:space="preserve">Contribution </w:t>
            </w:r>
            <w:r w:rsidRPr="00541E47">
              <w:rPr>
                <w:color w:val="000000" w:themeColor="text1"/>
                <w:sz w:val="16"/>
                <w:szCs w:val="16"/>
              </w:rPr>
              <w:br/>
              <w:t>to GDP growth</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r>
      <w:tr w:rsidR="005F3224" w:rsidRPr="00541E47" w:rsidTr="008E5EEB">
        <w:trPr>
          <w:trHeight w:val="300"/>
          <w:jc w:val="center"/>
        </w:trPr>
        <w:tc>
          <w:tcPr>
            <w:tcW w:w="591"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 xml:space="preserve">Primary sector </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0.6</w:t>
            </w: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0.19</w:t>
            </w: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2.623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2.7</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w:t>
            </w: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r>
      <w:tr w:rsidR="005F3224" w:rsidRPr="00541E47" w:rsidTr="008E5EEB">
        <w:trPr>
          <w:trHeight w:val="345"/>
          <w:jc w:val="center"/>
        </w:trPr>
        <w:tc>
          <w:tcPr>
            <w:tcW w:w="591"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Secondary sector</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0.6</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0.6</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1.73</w:t>
            </w: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1.0</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1.2</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1.6</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w:t>
            </w: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1.2</w:t>
            </w:r>
          </w:p>
        </w:tc>
      </w:tr>
      <w:tr w:rsidR="005F3224" w:rsidRPr="00541E47" w:rsidTr="008E5EEB">
        <w:trPr>
          <w:trHeight w:val="315"/>
          <w:jc w:val="center"/>
        </w:trPr>
        <w:tc>
          <w:tcPr>
            <w:tcW w:w="591"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Tertiary sector</w:t>
            </w:r>
          </w:p>
        </w:tc>
        <w:tc>
          <w:tcPr>
            <w:tcW w:w="26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1.3</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1.1</w:t>
            </w:r>
          </w:p>
        </w:tc>
        <w:tc>
          <w:tcPr>
            <w:tcW w:w="266"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w:t>
            </w:r>
          </w:p>
        </w:tc>
        <w:tc>
          <w:tcPr>
            <w:tcW w:w="27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2.8</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3.5</w:t>
            </w:r>
          </w:p>
        </w:tc>
        <w:tc>
          <w:tcPr>
            <w:tcW w:w="263"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3.628</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w:t>
            </w:r>
          </w:p>
        </w:tc>
        <w:tc>
          <w:tcPr>
            <w:tcW w:w="242"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1.7</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2.9</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3.6</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4.3</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3.5</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3.5</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4.2</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2.1</w:t>
            </w:r>
          </w:p>
        </w:tc>
        <w:tc>
          <w:tcPr>
            <w:tcW w:w="247"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w:t>
            </w:r>
          </w:p>
        </w:tc>
        <w:tc>
          <w:tcPr>
            <w:tcW w:w="370" w:type="pct"/>
            <w:tcBorders>
              <w:top w:val="nil"/>
              <w:left w:val="nil"/>
              <w:bottom w:val="single" w:sz="8"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w:t>
            </w:r>
          </w:p>
        </w:tc>
      </w:tr>
      <w:tr w:rsidR="005F3224" w:rsidRPr="00541E47" w:rsidTr="008E5EEB">
        <w:trPr>
          <w:trHeight w:val="300"/>
          <w:jc w:val="center"/>
        </w:trPr>
        <w:tc>
          <w:tcPr>
            <w:tcW w:w="3889" w:type="pct"/>
            <w:gridSpan w:val="14"/>
            <w:tcBorders>
              <w:top w:val="single" w:sz="8" w:space="0" w:color="auto"/>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lang w:val="fr-FR"/>
              </w:rPr>
            </w:pPr>
            <w:r w:rsidRPr="00541E47">
              <w:rPr>
                <w:color w:val="000000" w:themeColor="text1"/>
                <w:sz w:val="16"/>
                <w:szCs w:val="16"/>
                <w:lang w:val="fr-FR"/>
              </w:rPr>
              <w:t>Source: ANSD.</w:t>
            </w: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247"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370" w:type="pct"/>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r>
    </w:tbl>
    <w:p w:rsidR="005F3224" w:rsidRPr="00541E47" w:rsidRDefault="005F3224" w:rsidP="005F3224">
      <w:pPr>
        <w:jc w:val="both"/>
        <w:textAlignment w:val="top"/>
        <w:rPr>
          <w:rStyle w:val="longtext"/>
          <w:color w:val="000000" w:themeColor="text1"/>
        </w:rPr>
      </w:pPr>
    </w:p>
    <w:p w:rsidR="005F3224" w:rsidRPr="00541E47" w:rsidRDefault="005F3224" w:rsidP="005F3224">
      <w:pPr>
        <w:jc w:val="both"/>
        <w:textAlignment w:val="top"/>
        <w:rPr>
          <w:rStyle w:val="longtext"/>
          <w:color w:val="000000" w:themeColor="text1"/>
        </w:rPr>
      </w:pPr>
      <w:r w:rsidRPr="00541E47">
        <w:rPr>
          <w:rStyle w:val="longtext"/>
          <w:color w:val="000000" w:themeColor="text1"/>
        </w:rPr>
        <w:t xml:space="preserve">The sectoral composition of GDP shows that the </w:t>
      </w:r>
      <w:r w:rsidR="00CB149F" w:rsidRPr="00541E47">
        <w:rPr>
          <w:rStyle w:val="longtext"/>
          <w:color w:val="000000" w:themeColor="text1"/>
        </w:rPr>
        <w:t xml:space="preserve">services </w:t>
      </w:r>
      <w:r w:rsidRPr="00541E47">
        <w:rPr>
          <w:rStyle w:val="longtext"/>
          <w:color w:val="000000" w:themeColor="text1"/>
        </w:rPr>
        <w:t xml:space="preserve">has consistently provided more than half of GDP (61% during the period 2000-2010, against 58% in 1980-1984) and is mainly the </w:t>
      </w:r>
      <w:r w:rsidR="00CB149F" w:rsidRPr="00541E47">
        <w:rPr>
          <w:rStyle w:val="longtext"/>
          <w:color w:val="000000" w:themeColor="text1"/>
        </w:rPr>
        <w:t xml:space="preserve">engine </w:t>
      </w:r>
      <w:r w:rsidRPr="00541E47">
        <w:rPr>
          <w:rStyle w:val="longtext"/>
          <w:color w:val="000000" w:themeColor="text1"/>
        </w:rPr>
        <w:t>of</w:t>
      </w:r>
      <w:r w:rsidR="00CB149F" w:rsidRPr="00541E47">
        <w:rPr>
          <w:rStyle w:val="longtext"/>
          <w:color w:val="000000" w:themeColor="text1"/>
        </w:rPr>
        <w:t xml:space="preserve"> the </w:t>
      </w:r>
      <w:r w:rsidRPr="00541E47">
        <w:rPr>
          <w:rStyle w:val="longtext"/>
          <w:color w:val="000000" w:themeColor="text1"/>
        </w:rPr>
        <w:t>growth as highlighted by the sectors’ contribution to growth rate of GDP</w:t>
      </w:r>
      <w:r w:rsidR="00C504CA" w:rsidRPr="00541E47">
        <w:rPr>
          <w:rStyle w:val="longtext"/>
          <w:color w:val="000000" w:themeColor="text1"/>
        </w:rPr>
        <w:t xml:space="preserve"> in </w:t>
      </w:r>
      <w:r w:rsidR="001E1215" w:rsidRPr="00541E47">
        <w:rPr>
          <w:rStyle w:val="longtext"/>
          <w:color w:val="000000" w:themeColor="text1"/>
        </w:rPr>
        <w:t>graph</w:t>
      </w:r>
      <w:r w:rsidR="00CB149F" w:rsidRPr="00541E47">
        <w:rPr>
          <w:rStyle w:val="longtext"/>
          <w:color w:val="000000" w:themeColor="text1"/>
        </w:rPr>
        <w:t xml:space="preserve"> 4</w:t>
      </w:r>
      <w:r w:rsidR="00C504CA" w:rsidRPr="00541E47">
        <w:rPr>
          <w:rStyle w:val="longtext"/>
          <w:color w:val="000000" w:themeColor="text1"/>
        </w:rPr>
        <w:t>)</w:t>
      </w:r>
      <w:r w:rsidRPr="00541E47">
        <w:rPr>
          <w:rStyle w:val="longtext"/>
          <w:color w:val="000000" w:themeColor="text1"/>
        </w:rPr>
        <w:t xml:space="preserve">. The contribution of </w:t>
      </w:r>
      <w:r w:rsidR="00CB149F" w:rsidRPr="00541E47">
        <w:rPr>
          <w:rStyle w:val="longtext"/>
          <w:color w:val="000000" w:themeColor="text1"/>
        </w:rPr>
        <w:t>industry</w:t>
      </w:r>
      <w:r w:rsidRPr="00541E47">
        <w:rPr>
          <w:rStyle w:val="longtext"/>
          <w:color w:val="000000" w:themeColor="text1"/>
        </w:rPr>
        <w:t xml:space="preserve">, which was estimated at 19.5% between 1980 and 1984, reached 22.6% during the period 2000-2010. By contrast, the </w:t>
      </w:r>
      <w:r w:rsidR="00CB149F" w:rsidRPr="00541E47">
        <w:rPr>
          <w:rStyle w:val="longtext"/>
          <w:color w:val="000000" w:themeColor="text1"/>
        </w:rPr>
        <w:t xml:space="preserve">agricultural </w:t>
      </w:r>
      <w:r w:rsidRPr="00541E47">
        <w:rPr>
          <w:rStyle w:val="longtext"/>
          <w:color w:val="000000" w:themeColor="text1"/>
        </w:rPr>
        <w:t xml:space="preserve">sector share declines from 22.4% to 16.8% during the same periods. The contribution of </w:t>
      </w:r>
      <w:r w:rsidR="00C504CA" w:rsidRPr="00541E47">
        <w:rPr>
          <w:rStyle w:val="longtext"/>
          <w:color w:val="000000" w:themeColor="text1"/>
        </w:rPr>
        <w:t xml:space="preserve">both </w:t>
      </w:r>
      <w:r w:rsidRPr="00541E47">
        <w:rPr>
          <w:rStyle w:val="longtext"/>
          <w:color w:val="000000" w:themeColor="text1"/>
        </w:rPr>
        <w:t xml:space="preserve">the </w:t>
      </w:r>
      <w:r w:rsidR="00CB149F" w:rsidRPr="00541E47">
        <w:rPr>
          <w:rStyle w:val="longtext"/>
          <w:color w:val="000000" w:themeColor="text1"/>
        </w:rPr>
        <w:t xml:space="preserve">agriculture and the industry </w:t>
      </w:r>
      <w:r w:rsidRPr="00541E47">
        <w:rPr>
          <w:rStyle w:val="longtext"/>
          <w:color w:val="000000" w:themeColor="text1"/>
        </w:rPr>
        <w:t xml:space="preserve">to growth is globally low during the whole period. </w:t>
      </w:r>
    </w:p>
    <w:p w:rsidR="001E1215" w:rsidRPr="00541E47" w:rsidRDefault="001E1215" w:rsidP="005F3224">
      <w:pPr>
        <w:jc w:val="both"/>
        <w:textAlignment w:val="top"/>
        <w:rPr>
          <w:b/>
          <w:bCs/>
          <w:color w:val="000000" w:themeColor="text1"/>
        </w:rPr>
      </w:pPr>
    </w:p>
    <w:p w:rsidR="00F35358" w:rsidRPr="00541E47" w:rsidRDefault="001E1215" w:rsidP="005F3224">
      <w:pPr>
        <w:jc w:val="both"/>
        <w:textAlignment w:val="top"/>
        <w:rPr>
          <w:color w:val="000000" w:themeColor="text1"/>
        </w:rPr>
      </w:pPr>
      <w:r w:rsidRPr="00541E47">
        <w:rPr>
          <w:bCs/>
          <w:color w:val="000000" w:themeColor="text1"/>
        </w:rPr>
        <w:t xml:space="preserve">Graph </w:t>
      </w:r>
      <w:r w:rsidR="00CB149F" w:rsidRPr="00541E47">
        <w:rPr>
          <w:bCs/>
          <w:color w:val="000000" w:themeColor="text1"/>
        </w:rPr>
        <w:t>4</w:t>
      </w:r>
      <w:r w:rsidR="005F3224" w:rsidRPr="00541E47">
        <w:rPr>
          <w:b/>
          <w:bCs/>
          <w:color w:val="000000" w:themeColor="text1"/>
        </w:rPr>
        <w:t xml:space="preserve">: </w:t>
      </w:r>
      <w:r w:rsidR="005F3224" w:rsidRPr="00541E47">
        <w:rPr>
          <w:color w:val="000000" w:themeColor="text1"/>
        </w:rPr>
        <w:t>Senegal, Sectors ‘contribution to growth, 2000-2010.</w:t>
      </w:r>
    </w:p>
    <w:p w:rsidR="00F35358" w:rsidRPr="00541E47" w:rsidRDefault="00F35358" w:rsidP="005F3224">
      <w:pPr>
        <w:jc w:val="both"/>
        <w:textAlignment w:val="top"/>
        <w:rPr>
          <w:color w:val="000000" w:themeColor="text1"/>
        </w:rPr>
      </w:pPr>
      <w:r w:rsidRPr="00541E47">
        <w:rPr>
          <w:noProof/>
          <w:color w:val="000000" w:themeColor="text1"/>
          <w:lang w:val="fr-FR" w:eastAsia="fr-FR"/>
        </w:rPr>
        <w:drawing>
          <wp:inline distT="0" distB="0" distL="0" distR="0">
            <wp:extent cx="6315887" cy="1818168"/>
            <wp:effectExtent l="19050" t="0" r="27763"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224" w:rsidRPr="00541E47" w:rsidRDefault="005F3224" w:rsidP="005F3224">
      <w:pPr>
        <w:jc w:val="both"/>
        <w:textAlignment w:val="top"/>
        <w:rPr>
          <w:rStyle w:val="longtext"/>
          <w:color w:val="000000" w:themeColor="text1"/>
        </w:rPr>
      </w:pPr>
      <w:r w:rsidRPr="00541E47">
        <w:rPr>
          <w:color w:val="000000" w:themeColor="text1"/>
        </w:rPr>
        <w:t xml:space="preserve"> </w:t>
      </w:r>
      <w:r w:rsidRPr="00541E47">
        <w:rPr>
          <w:rStyle w:val="longtext"/>
          <w:color w:val="000000" w:themeColor="text1"/>
        </w:rPr>
        <w:t>Source:</w:t>
      </w:r>
      <w:r w:rsidR="001E1215" w:rsidRPr="00541E47">
        <w:rPr>
          <w:rStyle w:val="longtext"/>
          <w:color w:val="000000" w:themeColor="text1"/>
        </w:rPr>
        <w:t xml:space="preserve"> </w:t>
      </w:r>
      <w:r w:rsidRPr="00541E47">
        <w:rPr>
          <w:rStyle w:val="longtext"/>
          <w:color w:val="000000" w:themeColor="text1"/>
        </w:rPr>
        <w:t>Estimated from national account</w:t>
      </w:r>
      <w:r w:rsidR="00C52CCA">
        <w:rPr>
          <w:rStyle w:val="longtext"/>
          <w:color w:val="000000" w:themeColor="text1"/>
        </w:rPr>
        <w:t>s</w:t>
      </w:r>
      <w:r w:rsidRPr="00541E47">
        <w:rPr>
          <w:rStyle w:val="longtext"/>
          <w:color w:val="000000" w:themeColor="text1"/>
        </w:rPr>
        <w:t xml:space="preserve">. </w:t>
      </w:r>
    </w:p>
    <w:p w:rsidR="005F3224" w:rsidRPr="00541E47" w:rsidRDefault="005F3224" w:rsidP="005F3224">
      <w:pPr>
        <w:pStyle w:val="Default"/>
        <w:jc w:val="both"/>
        <w:rPr>
          <w:color w:val="000000" w:themeColor="text1"/>
          <w:lang w:val="en-ZA"/>
        </w:rPr>
      </w:pPr>
    </w:p>
    <w:p w:rsidR="005F3224" w:rsidRPr="00541E47" w:rsidRDefault="005F3224" w:rsidP="005F3224">
      <w:pPr>
        <w:pStyle w:val="Default"/>
        <w:jc w:val="both"/>
        <w:rPr>
          <w:color w:val="000000" w:themeColor="text1"/>
        </w:rPr>
      </w:pPr>
      <w:r w:rsidRPr="00541E47">
        <w:rPr>
          <w:color w:val="000000" w:themeColor="text1"/>
        </w:rPr>
        <w:t xml:space="preserve">Table </w:t>
      </w:r>
      <w:r w:rsidR="00CB149F" w:rsidRPr="00541E47">
        <w:rPr>
          <w:color w:val="000000" w:themeColor="text1"/>
        </w:rPr>
        <w:t>2</w:t>
      </w:r>
      <w:r w:rsidRPr="00541E47">
        <w:rPr>
          <w:color w:val="000000" w:themeColor="text1"/>
        </w:rPr>
        <w:t xml:space="preserve"> shows the structure of the Senegalese economy in 2005, which is the base year of the economic model. </w:t>
      </w:r>
      <w:r w:rsidR="00C504CA" w:rsidRPr="00541E47">
        <w:rPr>
          <w:color w:val="000000" w:themeColor="text1"/>
        </w:rPr>
        <w:t>No surpris</w:t>
      </w:r>
      <w:r w:rsidR="00CB149F" w:rsidRPr="00541E47">
        <w:rPr>
          <w:color w:val="000000" w:themeColor="text1"/>
        </w:rPr>
        <w:t>ingly</w:t>
      </w:r>
      <w:r w:rsidR="00C504CA" w:rsidRPr="00541E47">
        <w:rPr>
          <w:color w:val="000000" w:themeColor="text1"/>
        </w:rPr>
        <w:t>, t</w:t>
      </w:r>
      <w:r w:rsidRPr="00541E47">
        <w:rPr>
          <w:color w:val="000000" w:themeColor="text1"/>
        </w:rPr>
        <w:t xml:space="preserve">he </w:t>
      </w:r>
      <w:r w:rsidR="00CB149F" w:rsidRPr="00541E47">
        <w:rPr>
          <w:color w:val="000000" w:themeColor="text1"/>
        </w:rPr>
        <w:t xml:space="preserve">services </w:t>
      </w:r>
      <w:r w:rsidRPr="00541E47">
        <w:rPr>
          <w:color w:val="000000" w:themeColor="text1"/>
        </w:rPr>
        <w:t>ha</w:t>
      </w:r>
      <w:r w:rsidR="00CB149F" w:rsidRPr="00541E47">
        <w:rPr>
          <w:color w:val="000000" w:themeColor="text1"/>
        </w:rPr>
        <w:t>ve</w:t>
      </w:r>
      <w:r w:rsidRPr="00541E47">
        <w:rPr>
          <w:color w:val="000000" w:themeColor="text1"/>
        </w:rPr>
        <w:t xml:space="preserve"> the most </w:t>
      </w:r>
      <w:r w:rsidR="00CB149F" w:rsidRPr="00541E47">
        <w:rPr>
          <w:color w:val="000000" w:themeColor="text1"/>
        </w:rPr>
        <w:t xml:space="preserve">important </w:t>
      </w:r>
      <w:r w:rsidRPr="00541E47">
        <w:rPr>
          <w:color w:val="000000" w:themeColor="text1"/>
        </w:rPr>
        <w:t>contribution to GDP (61 percent) and employment 58 percent</w:t>
      </w:r>
      <w:r w:rsidR="00C504CA" w:rsidRPr="00541E47">
        <w:rPr>
          <w:color w:val="000000" w:themeColor="text1"/>
        </w:rPr>
        <w:t xml:space="preserve"> and capital (65 percent).</w:t>
      </w:r>
      <w:r w:rsidRPr="00541E47">
        <w:rPr>
          <w:color w:val="000000" w:themeColor="text1"/>
        </w:rPr>
        <w:t xml:space="preserve"> It contributes to 31 percent of the whole exports. The contribution of secondary sector is estimated at 23</w:t>
      </w:r>
      <w:r w:rsidR="00CB149F" w:rsidRPr="00541E47">
        <w:rPr>
          <w:color w:val="000000" w:themeColor="text1"/>
        </w:rPr>
        <w:t>.</w:t>
      </w:r>
      <w:r w:rsidRPr="00541E47">
        <w:rPr>
          <w:color w:val="000000" w:themeColor="text1"/>
        </w:rPr>
        <w:t>5% of the GDP and 26</w:t>
      </w:r>
      <w:r w:rsidR="00CB149F" w:rsidRPr="00541E47">
        <w:rPr>
          <w:color w:val="000000" w:themeColor="text1"/>
        </w:rPr>
        <w:t>.</w:t>
      </w:r>
      <w:r w:rsidRPr="00541E47">
        <w:rPr>
          <w:color w:val="000000" w:themeColor="text1"/>
        </w:rPr>
        <w:t xml:space="preserve">3% of the total employment. </w:t>
      </w:r>
    </w:p>
    <w:tbl>
      <w:tblPr>
        <w:tblW w:w="8168" w:type="dxa"/>
        <w:tblInd w:w="93" w:type="dxa"/>
        <w:tblLook w:val="04A0"/>
      </w:tblPr>
      <w:tblGrid>
        <w:gridCol w:w="1600"/>
        <w:gridCol w:w="1120"/>
        <w:gridCol w:w="1100"/>
        <w:gridCol w:w="800"/>
        <w:gridCol w:w="780"/>
        <w:gridCol w:w="800"/>
        <w:gridCol w:w="960"/>
        <w:gridCol w:w="1008"/>
      </w:tblGrid>
      <w:tr w:rsidR="005F3224" w:rsidRPr="00541E47" w:rsidTr="008E5EEB">
        <w:trPr>
          <w:trHeight w:val="330"/>
        </w:trPr>
        <w:tc>
          <w:tcPr>
            <w:tcW w:w="4620" w:type="dxa"/>
            <w:gridSpan w:val="4"/>
            <w:tcBorders>
              <w:top w:val="nil"/>
              <w:left w:val="nil"/>
              <w:bottom w:val="nil"/>
              <w:right w:val="nil"/>
            </w:tcBorders>
            <w:shd w:val="clear" w:color="auto" w:fill="auto"/>
            <w:noWrap/>
            <w:vAlign w:val="bottom"/>
            <w:hideMark/>
          </w:tcPr>
          <w:p w:rsidR="005F3224" w:rsidRPr="00541E47" w:rsidRDefault="00CB149F" w:rsidP="008E5EEB">
            <w:pPr>
              <w:jc w:val="both"/>
              <w:rPr>
                <w:color w:val="000000" w:themeColor="text1"/>
                <w:sz w:val="20"/>
                <w:szCs w:val="20"/>
              </w:rPr>
            </w:pPr>
            <w:r w:rsidRPr="00541E47">
              <w:rPr>
                <w:color w:val="000000" w:themeColor="text1"/>
                <w:sz w:val="20"/>
                <w:szCs w:val="20"/>
              </w:rPr>
              <w:t>Table 2</w:t>
            </w:r>
            <w:r w:rsidR="005F3224" w:rsidRPr="00541E47">
              <w:rPr>
                <w:color w:val="000000" w:themeColor="text1"/>
                <w:sz w:val="20"/>
                <w:szCs w:val="20"/>
              </w:rPr>
              <w:t>. Structure of Senegalese’s economy in 2005</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20"/>
                <w:szCs w:val="20"/>
              </w:rPr>
            </w:pP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20"/>
                <w:szCs w:val="20"/>
              </w:rPr>
            </w:pPr>
          </w:p>
        </w:tc>
        <w:tc>
          <w:tcPr>
            <w:tcW w:w="960" w:type="dxa"/>
            <w:vMerge w:val="restart"/>
            <w:tcBorders>
              <w:top w:val="nil"/>
              <w:left w:val="nil"/>
              <w:bottom w:val="single" w:sz="4" w:space="0" w:color="000000"/>
              <w:right w:val="nil"/>
            </w:tcBorders>
            <w:shd w:val="clear" w:color="auto" w:fill="auto"/>
            <w:vAlign w:val="bottom"/>
            <w:hideMark/>
          </w:tcPr>
          <w:p w:rsidR="005F3224" w:rsidRPr="00541E47" w:rsidRDefault="005F3224" w:rsidP="008E5EEB">
            <w:pPr>
              <w:jc w:val="both"/>
              <w:rPr>
                <w:b/>
                <w:color w:val="000000" w:themeColor="text1"/>
                <w:sz w:val="16"/>
                <w:szCs w:val="16"/>
              </w:rPr>
            </w:pPr>
            <w:r w:rsidRPr="00541E47">
              <w:rPr>
                <w:b/>
                <w:color w:val="000000" w:themeColor="text1"/>
                <w:sz w:val="16"/>
                <w:szCs w:val="16"/>
              </w:rPr>
              <w:t xml:space="preserve">Exports </w:t>
            </w:r>
            <w:r w:rsidRPr="00541E47">
              <w:rPr>
                <w:b/>
                <w:color w:val="000000" w:themeColor="text1"/>
                <w:sz w:val="16"/>
                <w:szCs w:val="16"/>
              </w:rPr>
              <w:br/>
              <w:t>intensity (%)</w:t>
            </w:r>
          </w:p>
        </w:tc>
        <w:tc>
          <w:tcPr>
            <w:tcW w:w="1008" w:type="dxa"/>
            <w:vMerge w:val="restart"/>
            <w:tcBorders>
              <w:top w:val="nil"/>
              <w:left w:val="nil"/>
              <w:bottom w:val="single" w:sz="4" w:space="0" w:color="000000"/>
              <w:right w:val="nil"/>
            </w:tcBorders>
            <w:shd w:val="clear" w:color="auto" w:fill="auto"/>
            <w:vAlign w:val="bottom"/>
            <w:hideMark/>
          </w:tcPr>
          <w:p w:rsidR="005F3224" w:rsidRPr="00541E47" w:rsidRDefault="005F3224" w:rsidP="008E5EEB">
            <w:pPr>
              <w:jc w:val="both"/>
              <w:rPr>
                <w:b/>
                <w:color w:val="000000" w:themeColor="text1"/>
                <w:sz w:val="16"/>
                <w:szCs w:val="16"/>
              </w:rPr>
            </w:pPr>
            <w:r w:rsidRPr="00541E47">
              <w:rPr>
                <w:b/>
                <w:color w:val="000000" w:themeColor="text1"/>
                <w:sz w:val="16"/>
                <w:szCs w:val="16"/>
              </w:rPr>
              <w:t>Imports</w:t>
            </w:r>
            <w:r w:rsidRPr="00541E47">
              <w:rPr>
                <w:b/>
                <w:color w:val="000000" w:themeColor="text1"/>
                <w:sz w:val="16"/>
                <w:szCs w:val="16"/>
              </w:rPr>
              <w:br/>
              <w:t xml:space="preserve"> penetration (%)</w:t>
            </w:r>
          </w:p>
        </w:tc>
      </w:tr>
      <w:tr w:rsidR="005F3224" w:rsidRPr="00541E47" w:rsidTr="008E5EEB">
        <w:trPr>
          <w:trHeight w:val="33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p>
        </w:tc>
        <w:tc>
          <w:tcPr>
            <w:tcW w:w="4600" w:type="dxa"/>
            <w:gridSpan w:val="5"/>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Share of total (%)</w:t>
            </w:r>
          </w:p>
        </w:tc>
        <w:tc>
          <w:tcPr>
            <w:tcW w:w="960" w:type="dxa"/>
            <w:vMerge/>
            <w:tcBorders>
              <w:top w:val="nil"/>
              <w:left w:val="nil"/>
              <w:bottom w:val="single" w:sz="4" w:space="0" w:color="000000"/>
              <w:right w:val="nil"/>
            </w:tcBorders>
            <w:vAlign w:val="center"/>
            <w:hideMark/>
          </w:tcPr>
          <w:p w:rsidR="005F3224" w:rsidRPr="00541E47" w:rsidRDefault="005F3224" w:rsidP="008E5EEB">
            <w:pPr>
              <w:jc w:val="both"/>
              <w:rPr>
                <w:color w:val="000000" w:themeColor="text1"/>
                <w:sz w:val="16"/>
                <w:szCs w:val="16"/>
              </w:rPr>
            </w:pPr>
          </w:p>
        </w:tc>
        <w:tc>
          <w:tcPr>
            <w:tcW w:w="1008" w:type="dxa"/>
            <w:vMerge/>
            <w:tcBorders>
              <w:top w:val="nil"/>
              <w:left w:val="nil"/>
              <w:bottom w:val="single" w:sz="4" w:space="0" w:color="000000"/>
              <w:right w:val="nil"/>
            </w:tcBorders>
            <w:vAlign w:val="center"/>
            <w:hideMark/>
          </w:tcPr>
          <w:p w:rsidR="005F3224" w:rsidRPr="00541E47" w:rsidRDefault="005F3224" w:rsidP="008E5EEB">
            <w:pPr>
              <w:jc w:val="both"/>
              <w:rPr>
                <w:color w:val="000000" w:themeColor="text1"/>
                <w:sz w:val="16"/>
                <w:szCs w:val="16"/>
              </w:rPr>
            </w:pPr>
          </w:p>
        </w:tc>
      </w:tr>
      <w:tr w:rsidR="005F3224" w:rsidRPr="00541E47" w:rsidTr="008E5EEB">
        <w:trPr>
          <w:trHeight w:val="240"/>
        </w:trPr>
        <w:tc>
          <w:tcPr>
            <w:tcW w:w="1600" w:type="dxa"/>
            <w:tcBorders>
              <w:top w:val="single" w:sz="4" w:space="0" w:color="auto"/>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 </w:t>
            </w:r>
          </w:p>
        </w:tc>
        <w:tc>
          <w:tcPr>
            <w:tcW w:w="1120" w:type="dxa"/>
            <w:tcBorders>
              <w:top w:val="nil"/>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GDP</w:t>
            </w:r>
          </w:p>
        </w:tc>
        <w:tc>
          <w:tcPr>
            <w:tcW w:w="1100" w:type="dxa"/>
            <w:tcBorders>
              <w:top w:val="nil"/>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Employment</w:t>
            </w:r>
          </w:p>
        </w:tc>
        <w:tc>
          <w:tcPr>
            <w:tcW w:w="800" w:type="dxa"/>
            <w:tcBorders>
              <w:top w:val="nil"/>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Capital</w:t>
            </w:r>
          </w:p>
        </w:tc>
        <w:tc>
          <w:tcPr>
            <w:tcW w:w="780" w:type="dxa"/>
            <w:tcBorders>
              <w:top w:val="nil"/>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Exports</w:t>
            </w:r>
          </w:p>
        </w:tc>
        <w:tc>
          <w:tcPr>
            <w:tcW w:w="800" w:type="dxa"/>
            <w:tcBorders>
              <w:top w:val="nil"/>
              <w:left w:val="nil"/>
              <w:bottom w:val="single" w:sz="4" w:space="0" w:color="auto"/>
              <w:right w:val="nil"/>
            </w:tcBorders>
            <w:shd w:val="clear" w:color="auto" w:fill="auto"/>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Imports</w:t>
            </w:r>
          </w:p>
        </w:tc>
        <w:tc>
          <w:tcPr>
            <w:tcW w:w="960" w:type="dxa"/>
            <w:vMerge/>
            <w:tcBorders>
              <w:top w:val="nil"/>
              <w:left w:val="nil"/>
              <w:bottom w:val="single" w:sz="4" w:space="0" w:color="000000"/>
              <w:right w:val="nil"/>
            </w:tcBorders>
            <w:vAlign w:val="center"/>
            <w:hideMark/>
          </w:tcPr>
          <w:p w:rsidR="005F3224" w:rsidRPr="00541E47" w:rsidRDefault="005F3224" w:rsidP="008E5EEB">
            <w:pPr>
              <w:jc w:val="both"/>
              <w:rPr>
                <w:color w:val="000000" w:themeColor="text1"/>
                <w:sz w:val="16"/>
                <w:szCs w:val="16"/>
              </w:rPr>
            </w:pPr>
          </w:p>
        </w:tc>
        <w:tc>
          <w:tcPr>
            <w:tcW w:w="1008" w:type="dxa"/>
            <w:vMerge/>
            <w:tcBorders>
              <w:top w:val="nil"/>
              <w:left w:val="nil"/>
              <w:bottom w:val="single" w:sz="4" w:space="0" w:color="000000"/>
              <w:right w:val="nil"/>
            </w:tcBorders>
            <w:vAlign w:val="center"/>
            <w:hideMark/>
          </w:tcPr>
          <w:p w:rsidR="005F3224" w:rsidRPr="00541E47" w:rsidRDefault="005F3224" w:rsidP="008E5EEB">
            <w:pPr>
              <w:jc w:val="both"/>
              <w:rPr>
                <w:color w:val="000000" w:themeColor="text1"/>
                <w:sz w:val="16"/>
                <w:szCs w:val="16"/>
              </w:rPr>
            </w:pP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 xml:space="preserve">Total </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100.00</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100.00</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100.00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16.16</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24.03</w:t>
            </w:r>
          </w:p>
        </w:tc>
      </w:tr>
      <w:tr w:rsidR="005F3224" w:rsidRPr="00541E47" w:rsidTr="008E5EEB">
        <w:trPr>
          <w:trHeight w:val="300"/>
        </w:trPr>
        <w:tc>
          <w:tcPr>
            <w:tcW w:w="16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Agriculture</w:t>
            </w:r>
          </w:p>
        </w:tc>
        <w:tc>
          <w:tcPr>
            <w:tcW w:w="112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15.15</w:t>
            </w:r>
          </w:p>
        </w:tc>
        <w:tc>
          <w:tcPr>
            <w:tcW w:w="11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16.00</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14.43</w:t>
            </w:r>
          </w:p>
        </w:tc>
        <w:tc>
          <w:tcPr>
            <w:tcW w:w="78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1.69</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9.73</w:t>
            </w:r>
          </w:p>
        </w:tc>
        <w:tc>
          <w:tcPr>
            <w:tcW w:w="96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0.03</w:t>
            </w:r>
          </w:p>
        </w:tc>
        <w:tc>
          <w:tcPr>
            <w:tcW w:w="1008"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0.22</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Millet</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2.68</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2.99</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2.41</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0.02</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0.08</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0.34</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Maize</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0.69</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0.56</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0.80</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0.44</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0.39</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22.87</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Rice</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0.58</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0.89</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0.02</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5.05</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0.80</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77.25</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Vegetables</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0.96</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1.20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0.76</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0.6</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7.88</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20.75</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Fruits</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0.88</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0.98</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0.79</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3.81</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18.73</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Coton</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0.08</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0.06</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10.78</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Arachide</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2.24</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2.48</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2.04</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7.87</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31.51</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Jatropha</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0.01</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0.02</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0.01</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12.91</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Cansugar</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0.12</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0.19</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0.06</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Canetha</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15.38</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other primary</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2.87</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3.55</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2.29</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3.1</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0.29</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Elevage</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4.05</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3.73</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4.31</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0.98</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0.79</w:t>
            </w:r>
          </w:p>
        </w:tc>
      </w:tr>
      <w:tr w:rsidR="005F3224" w:rsidRPr="00541E47" w:rsidTr="005F3224">
        <w:trPr>
          <w:trHeight w:val="206"/>
        </w:trPr>
        <w:tc>
          <w:tcPr>
            <w:tcW w:w="16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Industrie</w:t>
            </w:r>
          </w:p>
        </w:tc>
        <w:tc>
          <w:tcPr>
            <w:tcW w:w="112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23.56</w:t>
            </w:r>
          </w:p>
        </w:tc>
        <w:tc>
          <w:tcPr>
            <w:tcW w:w="11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26.37</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21.17</w:t>
            </w:r>
          </w:p>
        </w:tc>
        <w:tc>
          <w:tcPr>
            <w:tcW w:w="78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67.46</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81.45</w:t>
            </w:r>
          </w:p>
        </w:tc>
        <w:tc>
          <w:tcPr>
            <w:tcW w:w="96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0.28</w:t>
            </w:r>
          </w:p>
        </w:tc>
        <w:tc>
          <w:tcPr>
            <w:tcW w:w="1008"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0.43</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Fisching</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1.93</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2.41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1.52</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9.8</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83.25</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53.77</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Oil</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0.32</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0.45</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0.21</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1.87</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2.59</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30.34</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43.79</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Sugar</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0.53</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0.54</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0.52</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1.5</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0.71</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44.90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other food processing</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6.32</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8.35</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4.58</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13.4</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14.6</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20.15</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40.98</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PetrolRaffine</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0.29</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0.14</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0.42</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9.9</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64.59</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Biodiesel</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0.06</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0.05</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0.07</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0.1</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11.51</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11.51</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Bioethanol</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7.14</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7.14</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PetrolBrut</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7.13</w:t>
            </w:r>
          </w:p>
        </w:tc>
        <w:tc>
          <w:tcPr>
            <w:tcW w:w="96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008"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100.00</w:t>
            </w:r>
          </w:p>
        </w:tc>
      </w:tr>
      <w:tr w:rsidR="005F3224" w:rsidRPr="00541E47" w:rsidTr="008E5EEB">
        <w:trPr>
          <w:trHeight w:val="300"/>
        </w:trPr>
        <w:tc>
          <w:tcPr>
            <w:tcW w:w="16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Other industries</w:t>
            </w:r>
          </w:p>
        </w:tc>
        <w:tc>
          <w:tcPr>
            <w:tcW w:w="112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14.11</w:t>
            </w:r>
          </w:p>
        </w:tc>
        <w:tc>
          <w:tcPr>
            <w:tcW w:w="11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14.42</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13.84</w:t>
            </w:r>
          </w:p>
        </w:tc>
        <w:tc>
          <w:tcPr>
            <w:tcW w:w="78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32.4</w:t>
            </w:r>
          </w:p>
        </w:tc>
        <w:tc>
          <w:tcPr>
            <w:tcW w:w="800" w:type="dxa"/>
            <w:tcBorders>
              <w:top w:val="nil"/>
              <w:left w:val="nil"/>
              <w:bottom w:val="nil"/>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54.2</w:t>
            </w:r>
          </w:p>
        </w:tc>
        <w:tc>
          <w:tcPr>
            <w:tcW w:w="96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23.44</w:t>
            </w:r>
          </w:p>
        </w:tc>
        <w:tc>
          <w:tcPr>
            <w:tcW w:w="1008"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41.00</w:t>
            </w:r>
          </w:p>
        </w:tc>
      </w:tr>
      <w:tr w:rsidR="005F3224" w:rsidRPr="00541E47" w:rsidTr="008E5EEB">
        <w:trPr>
          <w:trHeight w:val="300"/>
        </w:trPr>
        <w:tc>
          <w:tcPr>
            <w:tcW w:w="16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Private services</w:t>
            </w:r>
          </w:p>
        </w:tc>
        <w:tc>
          <w:tcPr>
            <w:tcW w:w="112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43.40</w:t>
            </w:r>
          </w:p>
        </w:tc>
        <w:tc>
          <w:tcPr>
            <w:tcW w:w="11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31.24</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53.75</w:t>
            </w:r>
          </w:p>
        </w:tc>
        <w:tc>
          <w:tcPr>
            <w:tcW w:w="78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30.85</w:t>
            </w:r>
          </w:p>
        </w:tc>
        <w:tc>
          <w:tcPr>
            <w:tcW w:w="800" w:type="dxa"/>
            <w:tcBorders>
              <w:top w:val="single" w:sz="4" w:space="0" w:color="auto"/>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8.82</w:t>
            </w:r>
          </w:p>
        </w:tc>
        <w:tc>
          <w:tcPr>
            <w:tcW w:w="96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12.74</w:t>
            </w:r>
          </w:p>
        </w:tc>
        <w:tc>
          <w:tcPr>
            <w:tcW w:w="1008"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6.41</w:t>
            </w:r>
          </w:p>
        </w:tc>
      </w:tr>
      <w:tr w:rsidR="005F3224" w:rsidRPr="00541E47" w:rsidTr="005F3224">
        <w:trPr>
          <w:trHeight w:val="70"/>
        </w:trPr>
        <w:tc>
          <w:tcPr>
            <w:tcW w:w="160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Goverment service</w:t>
            </w:r>
          </w:p>
        </w:tc>
        <w:tc>
          <w:tcPr>
            <w:tcW w:w="112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17.89</w:t>
            </w:r>
          </w:p>
        </w:tc>
        <w:tc>
          <w:tcPr>
            <w:tcW w:w="110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26.39</w:t>
            </w:r>
          </w:p>
        </w:tc>
        <w:tc>
          <w:tcPr>
            <w:tcW w:w="80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10.66</w:t>
            </w:r>
          </w:p>
        </w:tc>
        <w:tc>
          <w:tcPr>
            <w:tcW w:w="78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w:t>
            </w:r>
          </w:p>
        </w:tc>
        <w:tc>
          <w:tcPr>
            <w:tcW w:w="80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b/>
                <w:bCs/>
                <w:color w:val="000000" w:themeColor="text1"/>
                <w:sz w:val="16"/>
                <w:szCs w:val="16"/>
              </w:rPr>
            </w:pPr>
            <w:r w:rsidRPr="00541E47">
              <w:rPr>
                <w:b/>
                <w:bCs/>
                <w:color w:val="000000" w:themeColor="text1"/>
                <w:sz w:val="16"/>
                <w:szCs w:val="16"/>
              </w:rPr>
              <w:t>0</w:t>
            </w:r>
          </w:p>
        </w:tc>
        <w:tc>
          <w:tcPr>
            <w:tcW w:w="960"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c>
          <w:tcPr>
            <w:tcW w:w="1008" w:type="dxa"/>
            <w:tcBorders>
              <w:top w:val="nil"/>
              <w:left w:val="nil"/>
              <w:bottom w:val="single" w:sz="4" w:space="0" w:color="auto"/>
              <w:right w:val="nil"/>
            </w:tcBorders>
            <w:shd w:val="clear" w:color="auto" w:fill="auto"/>
            <w:noWrap/>
            <w:vAlign w:val="bottom"/>
            <w:hideMark/>
          </w:tcPr>
          <w:p w:rsidR="005F3224" w:rsidRPr="00541E47" w:rsidRDefault="005F3224" w:rsidP="008E5EEB">
            <w:pPr>
              <w:jc w:val="both"/>
              <w:rPr>
                <w:color w:val="000000" w:themeColor="text1"/>
                <w:sz w:val="16"/>
                <w:szCs w:val="16"/>
              </w:rPr>
            </w:pPr>
            <w:r w:rsidRPr="00541E47">
              <w:rPr>
                <w:color w:val="000000" w:themeColor="text1"/>
                <w:sz w:val="16"/>
                <w:szCs w:val="16"/>
              </w:rPr>
              <w:t>0.00</w:t>
            </w:r>
          </w:p>
        </w:tc>
      </w:tr>
    </w:tbl>
    <w:p w:rsidR="000E3A09" w:rsidRPr="00541E47" w:rsidRDefault="000E3A09" w:rsidP="005F3224">
      <w:pPr>
        <w:pStyle w:val="Default"/>
        <w:jc w:val="both"/>
        <w:rPr>
          <w:color w:val="000000" w:themeColor="text1"/>
        </w:rPr>
      </w:pPr>
    </w:p>
    <w:p w:rsidR="005F3224" w:rsidRPr="00541E47" w:rsidRDefault="005F3224" w:rsidP="005F3224">
      <w:pPr>
        <w:pStyle w:val="Default"/>
        <w:jc w:val="both"/>
        <w:rPr>
          <w:rStyle w:val="longtext"/>
          <w:color w:val="000000" w:themeColor="text1"/>
        </w:rPr>
      </w:pPr>
      <w:r w:rsidRPr="00541E47">
        <w:rPr>
          <w:color w:val="000000" w:themeColor="text1"/>
        </w:rPr>
        <w:t>Industry sector is dominated by food processing (excluded oil), which accounts for 6</w:t>
      </w:r>
      <w:r w:rsidR="00CB149F" w:rsidRPr="00541E47">
        <w:rPr>
          <w:color w:val="000000" w:themeColor="text1"/>
        </w:rPr>
        <w:t>.</w:t>
      </w:r>
      <w:r w:rsidR="00C504CA" w:rsidRPr="00541E47">
        <w:rPr>
          <w:color w:val="000000" w:themeColor="text1"/>
        </w:rPr>
        <w:t>3</w:t>
      </w:r>
      <w:r w:rsidRPr="00541E47">
        <w:rPr>
          <w:color w:val="000000" w:themeColor="text1"/>
        </w:rPr>
        <w:t xml:space="preserve"> percent of the national GDP and a 8</w:t>
      </w:r>
      <w:r w:rsidR="00CB149F" w:rsidRPr="00541E47">
        <w:rPr>
          <w:color w:val="000000" w:themeColor="text1"/>
        </w:rPr>
        <w:t>.</w:t>
      </w:r>
      <w:r w:rsidRPr="00541E47">
        <w:rPr>
          <w:color w:val="000000" w:themeColor="text1"/>
        </w:rPr>
        <w:t>35 percent of the whole employment. It is follow</w:t>
      </w:r>
      <w:r w:rsidR="00CB149F" w:rsidRPr="00541E47">
        <w:rPr>
          <w:color w:val="000000" w:themeColor="text1"/>
        </w:rPr>
        <w:t>ed</w:t>
      </w:r>
      <w:r w:rsidRPr="00541E47">
        <w:rPr>
          <w:color w:val="000000" w:themeColor="text1"/>
        </w:rPr>
        <w:t xml:space="preserve"> by </w:t>
      </w:r>
      <w:r w:rsidR="00CB149F" w:rsidRPr="00541E47">
        <w:rPr>
          <w:color w:val="000000" w:themeColor="text1"/>
        </w:rPr>
        <w:t xml:space="preserve">non food </w:t>
      </w:r>
      <w:r w:rsidRPr="00541E47">
        <w:rPr>
          <w:color w:val="000000" w:themeColor="text1"/>
        </w:rPr>
        <w:t xml:space="preserve">industries which include mainly the construction sub sector. The fishing sector contributes to around 2% both to the GDP and the employment. In contrast, </w:t>
      </w:r>
      <w:r w:rsidRPr="00541E47">
        <w:rPr>
          <w:rStyle w:val="longtext"/>
          <w:color w:val="000000" w:themeColor="text1"/>
        </w:rPr>
        <w:t xml:space="preserve">agriculture sector generate 15 </w:t>
      </w:r>
      <w:r w:rsidRPr="00541E47">
        <w:rPr>
          <w:color w:val="000000" w:themeColor="text1"/>
        </w:rPr>
        <w:t>percent</w:t>
      </w:r>
      <w:r w:rsidRPr="00541E47">
        <w:rPr>
          <w:rStyle w:val="longtext"/>
          <w:color w:val="000000" w:themeColor="text1"/>
        </w:rPr>
        <w:t xml:space="preserve"> of the </w:t>
      </w:r>
      <w:r w:rsidRPr="00541E47">
        <w:rPr>
          <w:color w:val="000000" w:themeColor="text1"/>
        </w:rPr>
        <w:t>gross domestic product (GDP) and 16 percent of total employment</w:t>
      </w:r>
      <w:r w:rsidRPr="00541E47">
        <w:rPr>
          <w:rStyle w:val="longtext"/>
          <w:color w:val="000000" w:themeColor="text1"/>
        </w:rPr>
        <w:t xml:space="preserve">. Senegalese </w:t>
      </w:r>
      <w:r w:rsidRPr="00541E47">
        <w:rPr>
          <w:color w:val="000000" w:themeColor="text1"/>
        </w:rPr>
        <w:t xml:space="preserve">farmers produce mainly staple grains (millet and maize), peanuts, as well as fruits and vegetables. Agriculture is </w:t>
      </w:r>
      <w:r w:rsidR="00CB149F" w:rsidRPr="00541E47">
        <w:rPr>
          <w:color w:val="000000" w:themeColor="text1"/>
        </w:rPr>
        <w:t xml:space="preserve">weak </w:t>
      </w:r>
      <w:r w:rsidRPr="00541E47">
        <w:rPr>
          <w:color w:val="000000" w:themeColor="text1"/>
        </w:rPr>
        <w:t>exporte</w:t>
      </w:r>
      <w:r w:rsidR="00CB149F" w:rsidRPr="00541E47">
        <w:rPr>
          <w:color w:val="000000" w:themeColor="text1"/>
        </w:rPr>
        <w:t>r</w:t>
      </w:r>
      <w:r w:rsidRPr="00541E47">
        <w:rPr>
          <w:color w:val="000000" w:themeColor="text1"/>
        </w:rPr>
        <w:t xml:space="preserve"> and agricultural exports are concentred in three main products: cotton (10</w:t>
      </w:r>
      <w:r w:rsidR="00C504CA" w:rsidRPr="00541E47">
        <w:rPr>
          <w:color w:val="000000" w:themeColor="text1"/>
        </w:rPr>
        <w:t>,</w:t>
      </w:r>
      <w:r w:rsidRPr="00541E47">
        <w:rPr>
          <w:color w:val="000000" w:themeColor="text1"/>
        </w:rPr>
        <w:t xml:space="preserve">78 %), vegetables (7,88%) and peanuts (7,87%). Most of the country’s agricultural foods are imported (rice, maize, vegetables and fruits). </w:t>
      </w:r>
    </w:p>
    <w:p w:rsidR="005F3224" w:rsidRPr="00541E47" w:rsidRDefault="005F3224" w:rsidP="005F3224">
      <w:pPr>
        <w:autoSpaceDE w:val="0"/>
        <w:autoSpaceDN w:val="0"/>
        <w:adjustRightInd w:val="0"/>
        <w:jc w:val="both"/>
        <w:rPr>
          <w:color w:val="000000" w:themeColor="text1"/>
          <w:lang w:val="en-US"/>
        </w:rPr>
      </w:pPr>
    </w:p>
    <w:p w:rsidR="005F3224" w:rsidRPr="00541E47" w:rsidRDefault="005F3224" w:rsidP="00C52CCA">
      <w:pPr>
        <w:autoSpaceDE w:val="0"/>
        <w:autoSpaceDN w:val="0"/>
        <w:adjustRightInd w:val="0"/>
        <w:jc w:val="both"/>
        <w:rPr>
          <w:b/>
          <w:color w:val="000000" w:themeColor="text1"/>
        </w:rPr>
      </w:pPr>
      <w:r w:rsidRPr="00541E47">
        <w:rPr>
          <w:b/>
          <w:color w:val="000000" w:themeColor="text1"/>
        </w:rPr>
        <w:t xml:space="preserve">Energetic intensity </w:t>
      </w:r>
    </w:p>
    <w:p w:rsidR="005F3224" w:rsidRPr="00541E47" w:rsidRDefault="005D785A" w:rsidP="00C52CCA">
      <w:pPr>
        <w:autoSpaceDE w:val="0"/>
        <w:autoSpaceDN w:val="0"/>
        <w:adjustRightInd w:val="0"/>
        <w:jc w:val="both"/>
        <w:rPr>
          <w:color w:val="000000" w:themeColor="text1"/>
        </w:rPr>
      </w:pPr>
      <w:r w:rsidRPr="00541E47">
        <w:rPr>
          <w:color w:val="000000" w:themeColor="text1"/>
        </w:rPr>
        <w:t xml:space="preserve">One of the channel through wich biofuel production can </w:t>
      </w:r>
      <w:r w:rsidR="001E1215" w:rsidRPr="00541E47">
        <w:rPr>
          <w:color w:val="000000" w:themeColor="text1"/>
        </w:rPr>
        <w:t xml:space="preserve">affect </w:t>
      </w:r>
      <w:r w:rsidRPr="00541E47">
        <w:rPr>
          <w:color w:val="000000" w:themeColor="text1"/>
        </w:rPr>
        <w:t>Senegalese economy is the sectorial energetic intensity. Table A1 show</w:t>
      </w:r>
      <w:r w:rsidR="000E3A09" w:rsidRPr="00541E47">
        <w:rPr>
          <w:color w:val="000000" w:themeColor="text1"/>
        </w:rPr>
        <w:t>s</w:t>
      </w:r>
      <w:r w:rsidRPr="00541E47">
        <w:rPr>
          <w:color w:val="000000" w:themeColor="text1"/>
        </w:rPr>
        <w:t xml:space="preserve"> that </w:t>
      </w:r>
      <w:r w:rsidR="000E3A09" w:rsidRPr="00541E47">
        <w:rPr>
          <w:color w:val="000000" w:themeColor="text1"/>
        </w:rPr>
        <w:t>r</w:t>
      </w:r>
      <w:r w:rsidRPr="00541E47">
        <w:rPr>
          <w:color w:val="000000" w:themeColor="text1"/>
        </w:rPr>
        <w:t>affine</w:t>
      </w:r>
      <w:r w:rsidR="000E3A09" w:rsidRPr="00541E47">
        <w:rPr>
          <w:color w:val="000000" w:themeColor="text1"/>
        </w:rPr>
        <w:t xml:space="preserve">d petroleum </w:t>
      </w:r>
      <w:r w:rsidRPr="00541E47">
        <w:rPr>
          <w:color w:val="000000" w:themeColor="text1"/>
        </w:rPr>
        <w:t xml:space="preserve">is </w:t>
      </w:r>
      <w:r w:rsidR="000E3A09" w:rsidRPr="00541E47">
        <w:rPr>
          <w:color w:val="000000" w:themeColor="text1"/>
        </w:rPr>
        <w:t xml:space="preserve">an intermediaite consumption mainsly used </w:t>
      </w:r>
      <w:r w:rsidR="00E95013" w:rsidRPr="00541E47">
        <w:rPr>
          <w:color w:val="000000" w:themeColor="text1"/>
        </w:rPr>
        <w:t xml:space="preserve">by the </w:t>
      </w:r>
      <w:r w:rsidR="000E3A09" w:rsidRPr="00541E47">
        <w:rPr>
          <w:color w:val="000000" w:themeColor="text1"/>
        </w:rPr>
        <w:t xml:space="preserve">following sectors: fishery, sugar, non food industries, rice, tradable and non </w:t>
      </w:r>
      <w:r w:rsidR="000E3A09" w:rsidRPr="00541E47">
        <w:rPr>
          <w:color w:val="000000" w:themeColor="text1"/>
        </w:rPr>
        <w:lastRenderedPageBreak/>
        <w:t>services</w:t>
      </w:r>
      <w:r w:rsidR="00E95013" w:rsidRPr="00541E47">
        <w:rPr>
          <w:rStyle w:val="Appelnotedebasdep"/>
          <w:color w:val="000000" w:themeColor="text1"/>
        </w:rPr>
        <w:footnoteReference w:id="9"/>
      </w:r>
      <w:r w:rsidR="000E3A09" w:rsidRPr="00541E47">
        <w:rPr>
          <w:color w:val="000000" w:themeColor="text1"/>
        </w:rPr>
        <w:t xml:space="preserve">. </w:t>
      </w:r>
      <w:r w:rsidR="00F37CCE" w:rsidRPr="00541E47">
        <w:rPr>
          <w:color w:val="000000" w:themeColor="text1"/>
        </w:rPr>
        <w:t>B</w:t>
      </w:r>
      <w:r w:rsidR="005F3224" w:rsidRPr="00541E47">
        <w:rPr>
          <w:color w:val="000000" w:themeColor="text1"/>
        </w:rPr>
        <w:t xml:space="preserve">iodiesel is </w:t>
      </w:r>
      <w:r w:rsidR="00F37CCE" w:rsidRPr="00541E47">
        <w:rPr>
          <w:color w:val="000000" w:themeColor="text1"/>
        </w:rPr>
        <w:t xml:space="preserve">mainly </w:t>
      </w:r>
      <w:r w:rsidR="005F3224" w:rsidRPr="00541E47">
        <w:rPr>
          <w:color w:val="000000" w:themeColor="text1"/>
        </w:rPr>
        <w:t xml:space="preserve">used by the sector </w:t>
      </w:r>
      <w:r w:rsidR="00F37CCE" w:rsidRPr="00541E47">
        <w:rPr>
          <w:color w:val="000000" w:themeColor="text1"/>
        </w:rPr>
        <w:t>tradable services and o</w:t>
      </w:r>
      <w:r w:rsidR="005F3224" w:rsidRPr="00541E47">
        <w:rPr>
          <w:color w:val="000000" w:themeColor="text1"/>
        </w:rPr>
        <w:t>ther industries as a</w:t>
      </w:r>
      <w:r w:rsidR="000E3A09" w:rsidRPr="00541E47">
        <w:rPr>
          <w:color w:val="000000" w:themeColor="text1"/>
        </w:rPr>
        <w:t>n</w:t>
      </w:r>
      <w:r w:rsidR="005F3224" w:rsidRPr="00541E47">
        <w:rPr>
          <w:color w:val="000000" w:themeColor="text1"/>
        </w:rPr>
        <w:t xml:space="preserve"> input for production</w:t>
      </w:r>
      <w:r w:rsidR="000E3A09" w:rsidRPr="00541E47">
        <w:rPr>
          <w:color w:val="000000" w:themeColor="text1"/>
        </w:rPr>
        <w:t xml:space="preserve"> purpose</w:t>
      </w:r>
      <w:r w:rsidR="005F3224" w:rsidRPr="00541E47">
        <w:rPr>
          <w:color w:val="000000" w:themeColor="text1"/>
        </w:rPr>
        <w:t xml:space="preserve">. </w:t>
      </w:r>
      <w:r w:rsidR="000E3A09" w:rsidRPr="00541E47">
        <w:rPr>
          <w:color w:val="000000" w:themeColor="text1"/>
        </w:rPr>
        <w:t xml:space="preserve">Crude oil </w:t>
      </w:r>
      <w:r w:rsidR="005F3224" w:rsidRPr="00541E47">
        <w:rPr>
          <w:color w:val="000000" w:themeColor="text1"/>
        </w:rPr>
        <w:t>is exclusively a</w:t>
      </w:r>
      <w:r w:rsidR="00F37CCE" w:rsidRPr="00541E47">
        <w:rPr>
          <w:color w:val="000000" w:themeColor="text1"/>
        </w:rPr>
        <w:t>n</w:t>
      </w:r>
      <w:r w:rsidR="005F3224" w:rsidRPr="00541E47">
        <w:rPr>
          <w:color w:val="000000" w:themeColor="text1"/>
        </w:rPr>
        <w:t xml:space="preserve"> in</w:t>
      </w:r>
      <w:r w:rsidR="000E3A09" w:rsidRPr="00541E47">
        <w:rPr>
          <w:color w:val="000000" w:themeColor="text1"/>
        </w:rPr>
        <w:t xml:space="preserve">termediate consumption </w:t>
      </w:r>
      <w:r w:rsidR="005F3224" w:rsidRPr="00541E47">
        <w:rPr>
          <w:color w:val="000000" w:themeColor="text1"/>
        </w:rPr>
        <w:t xml:space="preserve">for the </w:t>
      </w:r>
      <w:r w:rsidR="005F3224" w:rsidRPr="00541E47">
        <w:rPr>
          <w:i/>
          <w:color w:val="000000" w:themeColor="text1"/>
        </w:rPr>
        <w:t>rafine</w:t>
      </w:r>
      <w:r w:rsidR="00F37CCE" w:rsidRPr="00541E47">
        <w:rPr>
          <w:i/>
          <w:color w:val="000000" w:themeColor="text1"/>
        </w:rPr>
        <w:t xml:space="preserve">d petroleum </w:t>
      </w:r>
      <w:r w:rsidR="005F3224" w:rsidRPr="00541E47">
        <w:rPr>
          <w:color w:val="000000" w:themeColor="text1"/>
        </w:rPr>
        <w:t xml:space="preserve">sector. </w:t>
      </w:r>
    </w:p>
    <w:p w:rsidR="00397C57" w:rsidRPr="00541E47" w:rsidRDefault="00397C57" w:rsidP="00397C57">
      <w:pPr>
        <w:jc w:val="both"/>
        <w:rPr>
          <w:b/>
          <w:color w:val="000000" w:themeColor="text1"/>
          <w:lang w:eastAsia="en-US"/>
        </w:rPr>
      </w:pPr>
    </w:p>
    <w:p w:rsidR="00FE35E1" w:rsidRPr="00541E47" w:rsidRDefault="008D0138" w:rsidP="00C52CCA">
      <w:pPr>
        <w:pStyle w:val="Titre1"/>
        <w:spacing w:line="240" w:lineRule="auto"/>
        <w:jc w:val="both"/>
        <w:rPr>
          <w:color w:val="000000" w:themeColor="text1"/>
          <w:lang w:val="en-US"/>
        </w:rPr>
      </w:pPr>
      <w:r w:rsidRPr="00541E47">
        <w:rPr>
          <w:color w:val="000000" w:themeColor="text1"/>
          <w:lang w:val="en-US"/>
        </w:rPr>
        <w:t>3</w:t>
      </w:r>
      <w:r w:rsidR="00EE33F5" w:rsidRPr="00541E47">
        <w:rPr>
          <w:color w:val="000000" w:themeColor="text1"/>
          <w:lang w:val="en-US"/>
        </w:rPr>
        <w:t xml:space="preserve">. </w:t>
      </w:r>
      <w:r w:rsidR="00FE35E1" w:rsidRPr="00541E47">
        <w:rPr>
          <w:color w:val="000000" w:themeColor="text1"/>
          <w:lang w:val="en-US"/>
        </w:rPr>
        <w:t xml:space="preserve">Results </w:t>
      </w:r>
    </w:p>
    <w:p w:rsidR="0010283D" w:rsidRPr="00541E47" w:rsidRDefault="00B771A5" w:rsidP="00C52CCA">
      <w:pPr>
        <w:jc w:val="both"/>
        <w:rPr>
          <w:color w:val="000000" w:themeColor="text1"/>
          <w:lang w:eastAsia="en-US"/>
        </w:rPr>
      </w:pPr>
      <w:r w:rsidRPr="00541E47">
        <w:rPr>
          <w:color w:val="000000" w:themeColor="text1"/>
          <w:lang w:eastAsia="en-US"/>
        </w:rPr>
        <w:t>In the “Reference Scenario”, we assume that global biofuels production expand</w:t>
      </w:r>
      <w:r w:rsidR="00CB149F" w:rsidRPr="00541E47">
        <w:rPr>
          <w:color w:val="000000" w:themeColor="text1"/>
          <w:lang w:eastAsia="en-US"/>
        </w:rPr>
        <w:t>s</w:t>
      </w:r>
      <w:r w:rsidRPr="00541E47">
        <w:rPr>
          <w:color w:val="000000" w:themeColor="text1"/>
          <w:lang w:eastAsia="en-US"/>
        </w:rPr>
        <w:t xml:space="preserve"> </w:t>
      </w:r>
      <w:r w:rsidR="00CB149F" w:rsidRPr="00541E47">
        <w:rPr>
          <w:color w:val="000000" w:themeColor="text1"/>
          <w:lang w:eastAsia="en-US"/>
        </w:rPr>
        <w:t xml:space="preserve">only </w:t>
      </w:r>
      <w:r w:rsidRPr="00541E47">
        <w:rPr>
          <w:color w:val="000000" w:themeColor="text1"/>
          <w:lang w:eastAsia="en-US"/>
        </w:rPr>
        <w:t xml:space="preserve">beyond </w:t>
      </w:r>
      <w:r w:rsidR="00CB149F" w:rsidRPr="00541E47">
        <w:rPr>
          <w:color w:val="000000" w:themeColor="text1"/>
          <w:lang w:eastAsia="en-US"/>
        </w:rPr>
        <w:t>2005</w:t>
      </w:r>
      <w:r w:rsidRPr="00541E47">
        <w:rPr>
          <w:color w:val="000000" w:themeColor="text1"/>
          <w:lang w:eastAsia="en-US"/>
        </w:rPr>
        <w:t>.</w:t>
      </w:r>
      <w:r w:rsidR="00C356CF" w:rsidRPr="00541E47">
        <w:rPr>
          <w:color w:val="000000" w:themeColor="text1"/>
          <w:lang w:eastAsia="en-US"/>
        </w:rPr>
        <w:t>W</w:t>
      </w:r>
      <w:r w:rsidR="0010283D" w:rsidRPr="00541E47">
        <w:rPr>
          <w:color w:val="000000" w:themeColor="text1"/>
          <w:lang w:eastAsia="en-US"/>
        </w:rPr>
        <w:t xml:space="preserve">e simulate the impact </w:t>
      </w:r>
      <w:r w:rsidR="00026F0D" w:rsidRPr="00541E47">
        <w:rPr>
          <w:color w:val="000000" w:themeColor="text1"/>
          <w:lang w:eastAsia="en-US"/>
        </w:rPr>
        <w:t xml:space="preserve">on Senegalese </w:t>
      </w:r>
      <w:r w:rsidR="00CB149F" w:rsidRPr="00541E47">
        <w:rPr>
          <w:color w:val="000000" w:themeColor="text1"/>
          <w:lang w:eastAsia="en-US"/>
        </w:rPr>
        <w:t xml:space="preserve">economy </w:t>
      </w:r>
      <w:r w:rsidR="0010283D" w:rsidRPr="00541E47">
        <w:rPr>
          <w:color w:val="000000" w:themeColor="text1"/>
          <w:lang w:eastAsia="en-US"/>
        </w:rPr>
        <w:t xml:space="preserve">of changes occurring in international markets </w:t>
      </w:r>
      <w:r w:rsidR="00CB149F" w:rsidRPr="00541E47">
        <w:rPr>
          <w:color w:val="000000" w:themeColor="text1"/>
          <w:lang w:eastAsia="en-US"/>
        </w:rPr>
        <w:t xml:space="preserve">of all items </w:t>
      </w:r>
      <w:r w:rsidR="00A85254" w:rsidRPr="00541E47">
        <w:rPr>
          <w:color w:val="000000" w:themeColor="text1"/>
          <w:lang w:eastAsia="en-US"/>
        </w:rPr>
        <w:t xml:space="preserve">driven </w:t>
      </w:r>
      <w:r w:rsidR="00BB7D54" w:rsidRPr="00541E47">
        <w:rPr>
          <w:color w:val="000000" w:themeColor="text1"/>
          <w:lang w:eastAsia="en-US"/>
        </w:rPr>
        <w:t xml:space="preserve">by a boom in </w:t>
      </w:r>
      <w:r w:rsidR="00CB149F" w:rsidRPr="00541E47">
        <w:rPr>
          <w:color w:val="000000" w:themeColor="text1"/>
          <w:lang w:eastAsia="en-US"/>
        </w:rPr>
        <w:t xml:space="preserve">world market </w:t>
      </w:r>
      <w:r w:rsidR="00026F0D" w:rsidRPr="00541E47">
        <w:rPr>
          <w:color w:val="000000" w:themeColor="text1"/>
          <w:lang w:eastAsia="en-US"/>
        </w:rPr>
        <w:t xml:space="preserve">biofuel </w:t>
      </w:r>
      <w:r w:rsidR="00CB149F" w:rsidRPr="00541E47">
        <w:rPr>
          <w:color w:val="000000" w:themeColor="text1"/>
          <w:lang w:eastAsia="en-US"/>
        </w:rPr>
        <w:t>supply</w:t>
      </w:r>
      <w:r w:rsidR="0010283D" w:rsidRPr="00541E47">
        <w:rPr>
          <w:color w:val="000000" w:themeColor="text1"/>
          <w:lang w:eastAsia="en-US"/>
        </w:rPr>
        <w:t xml:space="preserve">. </w:t>
      </w:r>
      <w:r w:rsidR="00026F0D" w:rsidRPr="00541E47">
        <w:rPr>
          <w:color w:val="000000" w:themeColor="text1"/>
          <w:lang w:eastAsia="en-US"/>
        </w:rPr>
        <w:t xml:space="preserve">The simulation assumes that only market forces drive growth in biofuels from the base scenario. The prices </w:t>
      </w:r>
      <w:r w:rsidR="0010283D" w:rsidRPr="00541E47">
        <w:rPr>
          <w:color w:val="000000" w:themeColor="text1"/>
          <w:lang w:eastAsia="en-US"/>
        </w:rPr>
        <w:t xml:space="preserve">variations are given in Table </w:t>
      </w:r>
      <w:r w:rsidR="00CB149F" w:rsidRPr="00541E47">
        <w:rPr>
          <w:color w:val="000000" w:themeColor="text1"/>
          <w:lang w:eastAsia="en-US"/>
        </w:rPr>
        <w:t>A</w:t>
      </w:r>
      <w:r w:rsidR="0013763F" w:rsidRPr="00541E47">
        <w:rPr>
          <w:color w:val="000000" w:themeColor="text1"/>
          <w:lang w:eastAsia="en-US"/>
        </w:rPr>
        <w:t>2</w:t>
      </w:r>
      <w:r w:rsidR="0010283D" w:rsidRPr="00541E47">
        <w:rPr>
          <w:color w:val="000000" w:themeColor="text1"/>
          <w:lang w:eastAsia="en-US"/>
        </w:rPr>
        <w:t xml:space="preserve">. </w:t>
      </w:r>
      <w:r w:rsidR="00E6246A" w:rsidRPr="00541E47">
        <w:rPr>
          <w:color w:val="000000" w:themeColor="text1"/>
          <w:lang w:eastAsia="en-US"/>
        </w:rPr>
        <w:t xml:space="preserve">We combine the effects of both import and export price of </w:t>
      </w:r>
      <w:r w:rsidR="00BB7D54" w:rsidRPr="00541E47">
        <w:rPr>
          <w:color w:val="000000" w:themeColor="text1"/>
          <w:lang w:eastAsia="en-US"/>
        </w:rPr>
        <w:t xml:space="preserve">all commodities </w:t>
      </w:r>
      <w:r w:rsidR="00E6246A" w:rsidRPr="00541E47">
        <w:rPr>
          <w:color w:val="000000" w:themeColor="text1"/>
          <w:lang w:eastAsia="en-US"/>
        </w:rPr>
        <w:t xml:space="preserve">under the assumptions of high elasticities. </w:t>
      </w:r>
      <w:r w:rsidR="0010283D" w:rsidRPr="00541E47">
        <w:rPr>
          <w:color w:val="000000" w:themeColor="text1"/>
          <w:lang w:eastAsia="en-US"/>
        </w:rPr>
        <w:t xml:space="preserve">Sectoral effects, as well as effects on </w:t>
      </w:r>
      <w:r w:rsidR="00C356CF" w:rsidRPr="00541E47">
        <w:rPr>
          <w:color w:val="000000" w:themeColor="text1"/>
          <w:lang w:eastAsia="en-US"/>
        </w:rPr>
        <w:t xml:space="preserve">returns to </w:t>
      </w:r>
      <w:r w:rsidR="0010283D" w:rsidRPr="00541E47">
        <w:rPr>
          <w:color w:val="000000" w:themeColor="text1"/>
          <w:lang w:eastAsia="en-US"/>
        </w:rPr>
        <w:t xml:space="preserve">factor and poverty </w:t>
      </w:r>
      <w:r w:rsidR="00C356CF" w:rsidRPr="00541E47">
        <w:rPr>
          <w:color w:val="000000" w:themeColor="text1"/>
          <w:lang w:eastAsia="en-US"/>
        </w:rPr>
        <w:t>are then assessed</w:t>
      </w:r>
      <w:r w:rsidR="0010283D" w:rsidRPr="00541E47">
        <w:rPr>
          <w:color w:val="000000" w:themeColor="text1"/>
          <w:lang w:eastAsia="en-US"/>
        </w:rPr>
        <w:t>.</w:t>
      </w:r>
      <w:r w:rsidR="00C356CF" w:rsidRPr="00541E47">
        <w:rPr>
          <w:color w:val="000000" w:themeColor="text1"/>
          <w:lang w:eastAsia="en-US"/>
        </w:rPr>
        <w:t xml:space="preserve"> </w:t>
      </w:r>
    </w:p>
    <w:p w:rsidR="005D5717" w:rsidRPr="00541E47" w:rsidRDefault="005D5717" w:rsidP="00C52CCA">
      <w:pPr>
        <w:jc w:val="both"/>
        <w:rPr>
          <w:color w:val="000000" w:themeColor="text1"/>
          <w:lang w:val="en-US"/>
        </w:rPr>
      </w:pPr>
    </w:p>
    <w:p w:rsidR="00FE35E1" w:rsidRPr="00541E47" w:rsidRDefault="00A85254" w:rsidP="00C52CCA">
      <w:pPr>
        <w:pStyle w:val="Titre1"/>
        <w:spacing w:line="240" w:lineRule="auto"/>
        <w:jc w:val="both"/>
        <w:rPr>
          <w:color w:val="000000" w:themeColor="text1"/>
        </w:rPr>
      </w:pPr>
      <w:r w:rsidRPr="00541E47">
        <w:rPr>
          <w:color w:val="000000" w:themeColor="text1"/>
        </w:rPr>
        <w:t xml:space="preserve">Effects on imports, exports and sales on domestic market </w:t>
      </w:r>
      <w:r w:rsidR="00FE35E1" w:rsidRPr="00541E47">
        <w:rPr>
          <w:color w:val="000000" w:themeColor="text1"/>
        </w:rPr>
        <w:t xml:space="preserve"> </w:t>
      </w:r>
    </w:p>
    <w:p w:rsidR="00781A53" w:rsidRPr="00541E47" w:rsidRDefault="00FE35E1" w:rsidP="00C52CCA">
      <w:pPr>
        <w:jc w:val="both"/>
        <w:rPr>
          <w:color w:val="000000" w:themeColor="text1"/>
          <w:lang w:eastAsia="en-US"/>
        </w:rPr>
      </w:pPr>
      <w:r w:rsidRPr="00541E47">
        <w:rPr>
          <w:color w:val="000000" w:themeColor="text1"/>
          <w:lang w:eastAsia="en-US"/>
        </w:rPr>
        <w:t xml:space="preserve">Under assumed </w:t>
      </w:r>
      <w:r w:rsidR="00E95013" w:rsidRPr="00541E47">
        <w:rPr>
          <w:color w:val="000000" w:themeColor="text1"/>
          <w:lang w:eastAsia="en-US"/>
        </w:rPr>
        <w:t xml:space="preserve">biofuel boom in the world market, </w:t>
      </w:r>
      <w:r w:rsidRPr="00541E47">
        <w:rPr>
          <w:color w:val="000000" w:themeColor="text1"/>
          <w:lang w:eastAsia="en-US"/>
        </w:rPr>
        <w:t xml:space="preserve">oil import prices decrease </w:t>
      </w:r>
      <w:r w:rsidR="00E95013" w:rsidRPr="00541E47">
        <w:rPr>
          <w:color w:val="000000" w:themeColor="text1"/>
          <w:lang w:eastAsia="en-US"/>
        </w:rPr>
        <w:t xml:space="preserve">slightly during all </w:t>
      </w:r>
      <w:r w:rsidR="00781A53" w:rsidRPr="00541E47">
        <w:rPr>
          <w:color w:val="000000" w:themeColor="text1"/>
          <w:lang w:eastAsia="en-US"/>
        </w:rPr>
        <w:t xml:space="preserve">three sub-periods: </w:t>
      </w:r>
      <w:r w:rsidRPr="00541E47">
        <w:rPr>
          <w:color w:val="000000" w:themeColor="text1"/>
          <w:lang w:eastAsia="en-US"/>
        </w:rPr>
        <w:t>2006-2010</w:t>
      </w:r>
      <w:r w:rsidR="00781A53" w:rsidRPr="00541E47">
        <w:rPr>
          <w:color w:val="000000" w:themeColor="text1"/>
          <w:lang w:eastAsia="en-US"/>
        </w:rPr>
        <w:t>, 2011-2015 and 2016-2020</w:t>
      </w:r>
      <w:r w:rsidR="00A85254" w:rsidRPr="00541E47">
        <w:rPr>
          <w:color w:val="000000" w:themeColor="text1"/>
          <w:lang w:eastAsia="en-US"/>
        </w:rPr>
        <w:t xml:space="preserve">. </w:t>
      </w:r>
      <w:r w:rsidR="00781A53" w:rsidRPr="00541E47">
        <w:rPr>
          <w:color w:val="000000" w:themeColor="text1"/>
          <w:lang w:eastAsia="en-US"/>
        </w:rPr>
        <w:t>Import prices decrease also for coal, other primary industries, gas, fertilizer and pesticide, products from energy intensive industries, tradable services. For all other products, import prices increase. Therefore, except for crude oil, tradable services and non food industries, imports decrease. Due to significant weight of the group of the products and services for which imports increase, total imports increase also</w:t>
      </w:r>
      <w:r w:rsidR="00541E47" w:rsidRPr="00541E47">
        <w:rPr>
          <w:color w:val="000000" w:themeColor="text1"/>
          <w:lang w:eastAsia="en-US"/>
        </w:rPr>
        <w:t xml:space="preserve"> (table 3</w:t>
      </w:r>
      <w:r w:rsidR="00B942CE" w:rsidRPr="00541E47">
        <w:rPr>
          <w:color w:val="000000" w:themeColor="text1"/>
          <w:lang w:eastAsia="en-US"/>
        </w:rPr>
        <w:t>)</w:t>
      </w:r>
      <w:r w:rsidR="00781A53" w:rsidRPr="00541E47">
        <w:rPr>
          <w:color w:val="000000" w:themeColor="text1"/>
          <w:lang w:eastAsia="en-US"/>
        </w:rPr>
        <w:t xml:space="preserve">.    </w:t>
      </w:r>
    </w:p>
    <w:p w:rsidR="00FE35E1" w:rsidRPr="00541E47" w:rsidRDefault="00FE35E1" w:rsidP="00B02175">
      <w:pPr>
        <w:spacing w:line="360" w:lineRule="auto"/>
        <w:jc w:val="both"/>
        <w:rPr>
          <w:color w:val="000000" w:themeColor="text1"/>
          <w:lang w:eastAsia="en-US"/>
        </w:rPr>
      </w:pPr>
    </w:p>
    <w:p w:rsidR="00FE35E1" w:rsidRPr="00541E47" w:rsidRDefault="009875E2" w:rsidP="00FE35E1">
      <w:pPr>
        <w:rPr>
          <w:color w:val="000000" w:themeColor="text1"/>
          <w:lang w:eastAsia="en-US"/>
        </w:rPr>
      </w:pPr>
      <w:r w:rsidRPr="00541E47">
        <w:rPr>
          <w:color w:val="000000" w:themeColor="text1"/>
          <w:lang w:val="en-US"/>
        </w:rPr>
        <w:t xml:space="preserve">Table </w:t>
      </w:r>
      <w:r w:rsidR="00541E47" w:rsidRPr="00541E47">
        <w:rPr>
          <w:color w:val="000000" w:themeColor="text1"/>
          <w:lang w:val="en-US"/>
        </w:rPr>
        <w:t>3</w:t>
      </w:r>
      <w:r w:rsidRPr="00541E47">
        <w:rPr>
          <w:color w:val="000000" w:themeColor="text1"/>
          <w:lang w:val="en-US"/>
        </w:rPr>
        <w:t xml:space="preserve">: Changes in imports w.r.t. </w:t>
      </w:r>
      <w:r w:rsidR="005D5717" w:rsidRPr="00541E47">
        <w:rPr>
          <w:color w:val="000000" w:themeColor="text1"/>
          <w:lang w:val="en-US"/>
        </w:rPr>
        <w:t xml:space="preserve">business-as-usual </w:t>
      </w:r>
      <w:r w:rsidRPr="00541E47">
        <w:rPr>
          <w:color w:val="000000" w:themeColor="text1"/>
          <w:lang w:val="en-US"/>
        </w:rPr>
        <w:t>(in %)</w:t>
      </w:r>
    </w:p>
    <w:tbl>
      <w:tblPr>
        <w:tblW w:w="5471" w:type="dxa"/>
        <w:tblInd w:w="91" w:type="dxa"/>
        <w:tblLook w:val="04A0"/>
      </w:tblPr>
      <w:tblGrid>
        <w:gridCol w:w="2057"/>
        <w:gridCol w:w="1367"/>
        <w:gridCol w:w="1067"/>
        <w:gridCol w:w="980"/>
      </w:tblGrid>
      <w:tr w:rsidR="00405190" w:rsidRPr="00541E47" w:rsidTr="00405190">
        <w:trPr>
          <w:trHeight w:val="255"/>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90" w:rsidRPr="00541E47" w:rsidRDefault="00405190" w:rsidP="00FE35E1">
            <w:pPr>
              <w:rPr>
                <w:color w:val="000000" w:themeColor="text1"/>
                <w:sz w:val="20"/>
                <w:szCs w:val="20"/>
                <w:lang w:val="en-US" w:eastAsia="en-US"/>
              </w:rPr>
            </w:pPr>
            <w:r w:rsidRPr="00541E47">
              <w:rPr>
                <w:color w:val="000000" w:themeColor="text1"/>
                <w:sz w:val="20"/>
                <w:szCs w:val="20"/>
                <w:lang w:val="en-US" w:eastAsia="en-US"/>
              </w:rPr>
              <w:t>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405190" w:rsidRPr="00541E47" w:rsidRDefault="00405190" w:rsidP="00BE36DB">
            <w:pPr>
              <w:jc w:val="center"/>
              <w:rPr>
                <w:color w:val="000000" w:themeColor="text1"/>
                <w:sz w:val="20"/>
                <w:szCs w:val="20"/>
                <w:lang w:val="en-US" w:eastAsia="en-US"/>
              </w:rPr>
            </w:pPr>
            <w:r w:rsidRPr="00541E47">
              <w:rPr>
                <w:color w:val="000000" w:themeColor="text1"/>
                <w:sz w:val="20"/>
                <w:szCs w:val="20"/>
                <w:lang w:val="en-US" w:eastAsia="en-US"/>
              </w:rPr>
              <w:t>Relative import share in 2005</w:t>
            </w:r>
          </w:p>
        </w:tc>
        <w:tc>
          <w:tcPr>
            <w:tcW w:w="1067" w:type="dxa"/>
            <w:tcBorders>
              <w:top w:val="single" w:sz="4" w:space="0" w:color="auto"/>
              <w:left w:val="nil"/>
              <w:bottom w:val="single" w:sz="4" w:space="0" w:color="auto"/>
              <w:right w:val="single" w:sz="4" w:space="0" w:color="auto"/>
            </w:tcBorders>
          </w:tcPr>
          <w:p w:rsidR="00405190" w:rsidRPr="00541E47" w:rsidRDefault="00405190" w:rsidP="00BE36DB">
            <w:pPr>
              <w:jc w:val="center"/>
              <w:rPr>
                <w:color w:val="000000" w:themeColor="text1"/>
                <w:sz w:val="20"/>
                <w:szCs w:val="20"/>
                <w:lang w:val="en-US" w:eastAsia="en-US"/>
              </w:rPr>
            </w:pPr>
            <w:r w:rsidRPr="00541E47">
              <w:rPr>
                <w:color w:val="000000" w:themeColor="text1"/>
                <w:sz w:val="20"/>
                <w:szCs w:val="20"/>
                <w:lang w:val="en-US" w:eastAsia="en-US"/>
              </w:rPr>
              <w:t>Share of imports in composite good in 2005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90" w:rsidRPr="00541E47" w:rsidRDefault="00405190" w:rsidP="00300107">
            <w:pPr>
              <w:jc w:val="center"/>
              <w:rPr>
                <w:color w:val="000000" w:themeColor="text1"/>
                <w:sz w:val="20"/>
                <w:szCs w:val="20"/>
                <w:lang w:val="en-US" w:eastAsia="en-US"/>
              </w:rPr>
            </w:pPr>
            <w:r w:rsidRPr="00541E47">
              <w:rPr>
                <w:color w:val="000000" w:themeColor="text1"/>
                <w:sz w:val="20"/>
                <w:szCs w:val="20"/>
                <w:lang w:val="en-US" w:eastAsia="en-US"/>
              </w:rPr>
              <w:t>Sim</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Millet/sorghum</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0,019</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0,34</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-4,95</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Maize</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0,435</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22,87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-4,71</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Rice</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5,052</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77,25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-0,54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Vegetables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0,551</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20,75</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-3,88</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Fruits</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0,457</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18,73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-3,82</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E36DB">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Other agricultural </w:t>
            </w:r>
          </w:p>
          <w:p w:rsidR="000E0EB1" w:rsidRPr="00541E47" w:rsidRDefault="000E0EB1" w:rsidP="00BE36DB">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Products</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3,146</w:t>
            </w:r>
          </w:p>
        </w:tc>
        <w:tc>
          <w:tcPr>
            <w:tcW w:w="1067"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Theme="minorHAnsi" w:hAnsiTheme="minorHAnsi"/>
                <w:color w:val="000000" w:themeColor="text1"/>
                <w:sz w:val="20"/>
                <w:szCs w:val="20"/>
                <w:lang w:val="en-US" w:eastAsia="en-US"/>
              </w:rPr>
              <w:t>30,77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-2,09</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Livestock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0,075</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0,79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-2,24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Fishery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1,403</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53,77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-1,12</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Food oil</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2,589</w:t>
            </w:r>
          </w:p>
        </w:tc>
        <w:tc>
          <w:tcPr>
            <w:tcW w:w="1067"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Theme="minorHAnsi" w:hAnsiTheme="minorHAnsi"/>
                <w:color w:val="000000" w:themeColor="text1"/>
                <w:sz w:val="20"/>
                <w:szCs w:val="20"/>
                <w:lang w:val="en-US" w:eastAsia="en-US"/>
              </w:rPr>
              <w:t>41,00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-0,48</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food industries</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FA342C">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14,629</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37,09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1,46</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44,9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-2,17</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D64596">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industries</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54,235</w:t>
            </w:r>
          </w:p>
        </w:tc>
        <w:tc>
          <w:tcPr>
            <w:tcW w:w="1067"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Theme="minorHAnsi" w:hAnsiTheme="minorHAnsi"/>
                <w:color w:val="000000" w:themeColor="text1"/>
                <w:sz w:val="20"/>
                <w:szCs w:val="20"/>
                <w:lang w:val="en-US" w:eastAsia="en-US"/>
              </w:rPr>
            </w:pPr>
            <w:r w:rsidRPr="00541E47">
              <w:rPr>
                <w:rFonts w:asciiTheme="minorHAnsi" w:hAnsiTheme="minorHAnsi"/>
                <w:color w:val="000000" w:themeColor="text1"/>
                <w:sz w:val="20"/>
                <w:szCs w:val="20"/>
                <w:lang w:val="en-US" w:eastAsia="en-US"/>
              </w:rPr>
              <w:t>41,07</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0,23</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Crude oil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7,129</w:t>
            </w:r>
          </w:p>
        </w:tc>
        <w:tc>
          <w:tcPr>
            <w:tcW w:w="1067"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Theme="minorHAnsi" w:hAnsiTheme="minorHAnsi"/>
                <w:color w:val="000000" w:themeColor="text1"/>
                <w:sz w:val="20"/>
                <w:szCs w:val="20"/>
                <w:lang w:val="en-US" w:eastAsia="en-US"/>
              </w:rPr>
              <w:t>100,00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0,56</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E36DB">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Tradable services </w:t>
            </w:r>
          </w:p>
        </w:tc>
        <w:tc>
          <w:tcPr>
            <w:tcW w:w="136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8,820</w:t>
            </w:r>
          </w:p>
        </w:tc>
        <w:tc>
          <w:tcPr>
            <w:tcW w:w="1067"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Theme="minorHAnsi" w:hAnsiTheme="minorHAnsi"/>
                <w:color w:val="000000" w:themeColor="text1"/>
                <w:sz w:val="20"/>
                <w:szCs w:val="20"/>
                <w:lang w:val="en-US" w:eastAsia="en-US"/>
              </w:rPr>
              <w:t>6,41</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1,17</w:t>
            </w:r>
          </w:p>
        </w:tc>
      </w:tr>
      <w:tr w:rsidR="000E0EB1" w:rsidRPr="00541E47" w:rsidTr="00405190">
        <w:trPr>
          <w:trHeight w:val="255"/>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8709F8">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Total imports </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100</w:t>
            </w:r>
          </w:p>
        </w:tc>
        <w:tc>
          <w:tcPr>
            <w:tcW w:w="1067"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23,66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right"/>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0,50</w:t>
            </w:r>
          </w:p>
        </w:tc>
      </w:tr>
    </w:tbl>
    <w:p w:rsidR="00FE35E1" w:rsidRPr="00541E47" w:rsidRDefault="00BE36DB" w:rsidP="00FE35E1">
      <w:pPr>
        <w:rPr>
          <w:color w:val="000000" w:themeColor="text1"/>
          <w:lang w:eastAsia="en-US"/>
        </w:rPr>
      </w:pPr>
      <w:r w:rsidRPr="00541E47">
        <w:rPr>
          <w:color w:val="000000" w:themeColor="text1"/>
          <w:lang w:eastAsia="en-US"/>
        </w:rPr>
        <w:t>Source: Senegalese SAM, 2005</w:t>
      </w:r>
      <w:r w:rsidR="00AC6493" w:rsidRPr="00541E47">
        <w:rPr>
          <w:color w:val="000000" w:themeColor="text1"/>
          <w:lang w:eastAsia="en-US"/>
        </w:rPr>
        <w:t xml:space="preserve"> and simulations</w:t>
      </w:r>
      <w:r w:rsidRPr="00541E47">
        <w:rPr>
          <w:color w:val="000000" w:themeColor="text1"/>
          <w:lang w:eastAsia="en-US"/>
        </w:rPr>
        <w:t xml:space="preserve"> </w:t>
      </w:r>
    </w:p>
    <w:p w:rsidR="002F3FFD" w:rsidRPr="00541E47" w:rsidRDefault="002F3FFD" w:rsidP="00FE35E1">
      <w:pPr>
        <w:rPr>
          <w:color w:val="000000" w:themeColor="text1"/>
          <w:lang w:eastAsia="en-US"/>
        </w:rPr>
      </w:pPr>
    </w:p>
    <w:p w:rsidR="00781A53" w:rsidRPr="00541E47" w:rsidRDefault="00781A53" w:rsidP="00C52CCA">
      <w:pPr>
        <w:jc w:val="both"/>
        <w:rPr>
          <w:color w:val="000000" w:themeColor="text1"/>
          <w:lang w:eastAsia="en-US"/>
        </w:rPr>
      </w:pPr>
      <w:r w:rsidRPr="00541E47">
        <w:rPr>
          <w:color w:val="000000" w:themeColor="text1"/>
          <w:lang w:eastAsia="en-US"/>
        </w:rPr>
        <w:t xml:space="preserve">Due to real exchange rate depreciation, exports increase for all products, except </w:t>
      </w:r>
      <w:r w:rsidR="00B942CE" w:rsidRPr="00541E47">
        <w:rPr>
          <w:color w:val="000000" w:themeColor="text1"/>
          <w:lang w:eastAsia="en-US"/>
        </w:rPr>
        <w:t>for refined oil, biofuel and</w:t>
      </w:r>
      <w:r w:rsidR="00541E47" w:rsidRPr="00541E47">
        <w:rPr>
          <w:color w:val="000000" w:themeColor="text1"/>
          <w:lang w:eastAsia="en-US"/>
        </w:rPr>
        <w:t xml:space="preserve"> tradable services (table 4</w:t>
      </w:r>
      <w:r w:rsidR="00B942CE" w:rsidRPr="00541E47">
        <w:rPr>
          <w:color w:val="000000" w:themeColor="text1"/>
          <w:lang w:eastAsia="en-US"/>
        </w:rPr>
        <w:t>)</w:t>
      </w:r>
      <w:r w:rsidRPr="00541E47">
        <w:rPr>
          <w:color w:val="000000" w:themeColor="text1"/>
          <w:lang w:eastAsia="en-US"/>
        </w:rPr>
        <w:t>.</w:t>
      </w:r>
      <w:r w:rsidR="00B942CE" w:rsidRPr="00541E47">
        <w:rPr>
          <w:color w:val="000000" w:themeColor="text1"/>
          <w:lang w:eastAsia="en-US"/>
        </w:rPr>
        <w:t xml:space="preserve"> The most important increases are the one experienced by maize, vegetables, fruits and groundnut.</w:t>
      </w:r>
      <w:r w:rsidR="006A6CD5" w:rsidRPr="00541E47">
        <w:rPr>
          <w:color w:val="000000" w:themeColor="text1"/>
          <w:lang w:eastAsia="en-US"/>
        </w:rPr>
        <w:t xml:space="preserve"> The total exports increased also. </w:t>
      </w:r>
      <w:r w:rsidR="00B942CE" w:rsidRPr="00541E47">
        <w:rPr>
          <w:color w:val="000000" w:themeColor="text1"/>
          <w:lang w:eastAsia="en-US"/>
        </w:rPr>
        <w:t xml:space="preserve">   </w:t>
      </w:r>
      <w:r w:rsidRPr="00541E47">
        <w:rPr>
          <w:color w:val="000000" w:themeColor="text1"/>
          <w:lang w:eastAsia="en-US"/>
        </w:rPr>
        <w:t xml:space="preserve"> </w:t>
      </w:r>
    </w:p>
    <w:p w:rsidR="00C52CCA" w:rsidRDefault="00C52CCA" w:rsidP="009875E2">
      <w:pPr>
        <w:rPr>
          <w:color w:val="000000" w:themeColor="text1"/>
          <w:lang w:val="en-US"/>
        </w:rPr>
      </w:pPr>
    </w:p>
    <w:p w:rsidR="00C52CCA" w:rsidRDefault="00C52CCA" w:rsidP="009875E2">
      <w:pPr>
        <w:rPr>
          <w:color w:val="000000" w:themeColor="text1"/>
          <w:lang w:val="en-US"/>
        </w:rPr>
      </w:pPr>
    </w:p>
    <w:p w:rsidR="00C52CCA" w:rsidRDefault="00C52CCA" w:rsidP="009875E2">
      <w:pPr>
        <w:rPr>
          <w:color w:val="000000" w:themeColor="text1"/>
          <w:lang w:val="en-US"/>
        </w:rPr>
      </w:pPr>
    </w:p>
    <w:p w:rsidR="009875E2" w:rsidRPr="00541E47" w:rsidRDefault="009875E2" w:rsidP="009875E2">
      <w:pPr>
        <w:rPr>
          <w:color w:val="000000" w:themeColor="text1"/>
          <w:lang w:eastAsia="en-US"/>
        </w:rPr>
      </w:pPr>
      <w:r w:rsidRPr="00541E47">
        <w:rPr>
          <w:color w:val="000000" w:themeColor="text1"/>
          <w:lang w:val="en-US"/>
        </w:rPr>
        <w:lastRenderedPageBreak/>
        <w:t xml:space="preserve">Table </w:t>
      </w:r>
      <w:r w:rsidR="00541E47" w:rsidRPr="00541E47">
        <w:rPr>
          <w:color w:val="000000" w:themeColor="text1"/>
          <w:lang w:val="en-US"/>
        </w:rPr>
        <w:t>4</w:t>
      </w:r>
      <w:r w:rsidRPr="00541E47">
        <w:rPr>
          <w:color w:val="000000" w:themeColor="text1"/>
          <w:lang w:val="en-US"/>
        </w:rPr>
        <w:t xml:space="preserve">: Changes in exports w.r.t. </w:t>
      </w:r>
      <w:r w:rsidR="005D5717" w:rsidRPr="00541E47">
        <w:rPr>
          <w:color w:val="000000" w:themeColor="text1"/>
          <w:lang w:val="en-US"/>
        </w:rPr>
        <w:t xml:space="preserve">business-as-usual </w:t>
      </w:r>
      <w:r w:rsidRPr="00541E47">
        <w:rPr>
          <w:color w:val="000000" w:themeColor="text1"/>
          <w:lang w:val="en-US"/>
        </w:rPr>
        <w:t>(in %)</w:t>
      </w:r>
    </w:p>
    <w:tbl>
      <w:tblPr>
        <w:tblW w:w="5473" w:type="dxa"/>
        <w:tblInd w:w="91" w:type="dxa"/>
        <w:tblLook w:val="04A0"/>
      </w:tblPr>
      <w:tblGrid>
        <w:gridCol w:w="2057"/>
        <w:gridCol w:w="1341"/>
        <w:gridCol w:w="1115"/>
        <w:gridCol w:w="960"/>
      </w:tblGrid>
      <w:tr w:rsidR="00405190" w:rsidRPr="00541E47" w:rsidTr="00405190">
        <w:trPr>
          <w:trHeight w:val="255"/>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90" w:rsidRPr="00541E47" w:rsidRDefault="00405190"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405190" w:rsidRPr="00541E47" w:rsidRDefault="00405190"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Relative export share in 2005</w:t>
            </w:r>
          </w:p>
        </w:tc>
        <w:tc>
          <w:tcPr>
            <w:tcW w:w="1115" w:type="dxa"/>
            <w:tcBorders>
              <w:top w:val="single" w:sz="4" w:space="0" w:color="auto"/>
              <w:left w:val="nil"/>
              <w:bottom w:val="single" w:sz="4" w:space="0" w:color="auto"/>
              <w:right w:val="single" w:sz="4" w:space="0" w:color="auto"/>
            </w:tcBorders>
          </w:tcPr>
          <w:p w:rsidR="00405190" w:rsidRPr="00541E47" w:rsidRDefault="00405190"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Shareof export s on production in 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190" w:rsidRPr="00541E47" w:rsidRDefault="00405190" w:rsidP="00300107">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Sim</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Millet/sorghum</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0,007</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1,24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Maize</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0,010</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0,39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7,32</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Rice</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0,020</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1,63</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Vegetables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0,295</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7,88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4,18</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Fruits</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0,129</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3,93</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Cotton</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0,083</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10,78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1,47</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Groundnut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0,026</w:t>
            </w:r>
          </w:p>
        </w:tc>
        <w:tc>
          <w:tcPr>
            <w:tcW w:w="1115"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3,87</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Other agricultural </w:t>
            </w:r>
          </w:p>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Products</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0,959</w:t>
            </w:r>
          </w:p>
        </w:tc>
        <w:tc>
          <w:tcPr>
            <w:tcW w:w="1115"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7,62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1,82</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Jatropha</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0,007</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12,91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1,40</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Sugarcane</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0,000</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15,38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0,00</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Livestock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0,153</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0,66</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Fishery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9,839</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83,25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2,54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Food oil</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1,872</w:t>
            </w:r>
          </w:p>
        </w:tc>
        <w:tc>
          <w:tcPr>
            <w:tcW w:w="1115"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23,44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0,67</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food industries</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FA342C">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13,415</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23,08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0,33</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0,02</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2,24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industries</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32,357</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20,22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0,32</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Refined oil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9,899</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64,59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-0,14</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Biodiesel</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0,058</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11,51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-0,71</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Bioethanol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0,001</w:t>
            </w:r>
          </w:p>
        </w:tc>
        <w:tc>
          <w:tcPr>
            <w:tcW w:w="1115" w:type="dxa"/>
            <w:tcBorders>
              <w:top w:val="single" w:sz="4" w:space="0" w:color="auto"/>
              <w:left w:val="nil"/>
              <w:bottom w:val="single" w:sz="4" w:space="0" w:color="auto"/>
              <w:right w:val="single" w:sz="4" w:space="0" w:color="auto"/>
            </w:tcBorders>
            <w:vAlign w:val="bottom"/>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7,14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-1,00</w:t>
            </w:r>
          </w:p>
        </w:tc>
      </w:tr>
      <w:tr w:rsidR="000E0EB1" w:rsidRPr="00541E47" w:rsidTr="00405190">
        <w:trPr>
          <w:trHeight w:val="255"/>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Tradable services </w:t>
            </w:r>
          </w:p>
        </w:tc>
        <w:tc>
          <w:tcPr>
            <w:tcW w:w="1341"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30,850</w:t>
            </w:r>
          </w:p>
        </w:tc>
        <w:tc>
          <w:tcPr>
            <w:tcW w:w="1115"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12,74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-0,48</w:t>
            </w:r>
          </w:p>
        </w:tc>
      </w:tr>
      <w:tr w:rsidR="000E0EB1" w:rsidRPr="00541E47" w:rsidTr="00405190">
        <w:trPr>
          <w:trHeight w:val="255"/>
        </w:trPr>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05190">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Total exports</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BE36DB">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100</w:t>
            </w:r>
          </w:p>
        </w:tc>
        <w:tc>
          <w:tcPr>
            <w:tcW w:w="1115" w:type="dxa"/>
            <w:tcBorders>
              <w:top w:val="single" w:sz="4" w:space="0" w:color="auto"/>
              <w:left w:val="nil"/>
              <w:bottom w:val="single" w:sz="4" w:space="0" w:color="auto"/>
              <w:right w:val="single" w:sz="4" w:space="0" w:color="auto"/>
            </w:tcBorders>
          </w:tcPr>
          <w:p w:rsidR="000E0EB1" w:rsidRPr="00541E47" w:rsidRDefault="000E0EB1" w:rsidP="00BE36DB">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15,89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0,89</w:t>
            </w:r>
          </w:p>
        </w:tc>
      </w:tr>
    </w:tbl>
    <w:p w:rsidR="002F3FFD" w:rsidRPr="00541E47" w:rsidRDefault="00BE36DB" w:rsidP="00B02175">
      <w:pPr>
        <w:spacing w:line="360" w:lineRule="auto"/>
        <w:jc w:val="both"/>
        <w:rPr>
          <w:color w:val="000000" w:themeColor="text1"/>
          <w:lang w:eastAsia="en-US"/>
        </w:rPr>
      </w:pPr>
      <w:r w:rsidRPr="00541E47">
        <w:rPr>
          <w:color w:val="000000" w:themeColor="text1"/>
          <w:lang w:eastAsia="en-US"/>
        </w:rPr>
        <w:t>Source: Senegalese SAM, 2005</w:t>
      </w:r>
      <w:r w:rsidR="00AC6493" w:rsidRPr="00541E47">
        <w:rPr>
          <w:color w:val="000000" w:themeColor="text1"/>
          <w:lang w:eastAsia="en-US"/>
        </w:rPr>
        <w:t xml:space="preserve"> and simulations</w:t>
      </w:r>
    </w:p>
    <w:p w:rsidR="002F3FFD" w:rsidRPr="00541E47" w:rsidRDefault="002F3FFD" w:rsidP="00B02175">
      <w:pPr>
        <w:spacing w:line="360" w:lineRule="auto"/>
        <w:jc w:val="both"/>
        <w:rPr>
          <w:color w:val="000000" w:themeColor="text1"/>
          <w:lang w:eastAsia="en-US"/>
        </w:rPr>
      </w:pPr>
    </w:p>
    <w:p w:rsidR="00D40A7C" w:rsidRPr="00541E47" w:rsidRDefault="00B942CE" w:rsidP="00C52CCA">
      <w:pPr>
        <w:jc w:val="both"/>
        <w:rPr>
          <w:color w:val="000000" w:themeColor="text1"/>
          <w:lang w:eastAsia="en-US"/>
        </w:rPr>
      </w:pPr>
      <w:r w:rsidRPr="00541E47">
        <w:rPr>
          <w:color w:val="000000" w:themeColor="text1"/>
          <w:lang w:eastAsia="en-US"/>
        </w:rPr>
        <w:t>As export refined oil decreased, its supply is reoriented to the local market. Therefore l</w:t>
      </w:r>
      <w:r w:rsidR="00E849E4" w:rsidRPr="00541E47">
        <w:rPr>
          <w:color w:val="000000" w:themeColor="text1"/>
          <w:lang w:eastAsia="en-US"/>
        </w:rPr>
        <w:t>ocal sales of</w:t>
      </w:r>
      <w:r w:rsidRPr="00541E47">
        <w:rPr>
          <w:color w:val="000000" w:themeColor="text1"/>
          <w:lang w:eastAsia="en-US"/>
        </w:rPr>
        <w:t xml:space="preserve"> refined oil</w:t>
      </w:r>
      <w:r w:rsidR="00E849E4" w:rsidRPr="00541E47">
        <w:rPr>
          <w:color w:val="000000" w:themeColor="text1"/>
          <w:lang w:eastAsia="en-US"/>
        </w:rPr>
        <w:t xml:space="preserve"> </w:t>
      </w:r>
      <w:r w:rsidRPr="00541E47">
        <w:rPr>
          <w:color w:val="000000" w:themeColor="text1"/>
          <w:lang w:eastAsia="en-US"/>
        </w:rPr>
        <w:t>in</w:t>
      </w:r>
      <w:r w:rsidR="00E849E4" w:rsidRPr="00541E47">
        <w:rPr>
          <w:color w:val="000000" w:themeColor="text1"/>
          <w:lang w:eastAsia="en-US"/>
        </w:rPr>
        <w:t>crease</w:t>
      </w:r>
      <w:r w:rsidRPr="00541E47">
        <w:rPr>
          <w:color w:val="000000" w:themeColor="text1"/>
          <w:lang w:eastAsia="en-US"/>
        </w:rPr>
        <w:t xml:space="preserve">. Local sales of biodiesel decrease as its production declined (table 5). </w:t>
      </w:r>
      <w:r w:rsidR="00E849E4" w:rsidRPr="00541E47">
        <w:rPr>
          <w:color w:val="000000" w:themeColor="text1"/>
          <w:lang w:eastAsia="en-US"/>
        </w:rPr>
        <w:t xml:space="preserve">Local sales of jatropha </w:t>
      </w:r>
      <w:r w:rsidRPr="00541E47">
        <w:rPr>
          <w:color w:val="000000" w:themeColor="text1"/>
          <w:lang w:eastAsia="en-US"/>
        </w:rPr>
        <w:t xml:space="preserve">decreased while the one of </w:t>
      </w:r>
      <w:r w:rsidR="006077C8" w:rsidRPr="00541E47">
        <w:rPr>
          <w:color w:val="000000" w:themeColor="text1"/>
          <w:lang w:eastAsia="en-US"/>
        </w:rPr>
        <w:t>sugarcane</w:t>
      </w:r>
      <w:r w:rsidR="00E47891" w:rsidRPr="00541E47">
        <w:rPr>
          <w:color w:val="000000" w:themeColor="text1"/>
          <w:lang w:eastAsia="en-US"/>
        </w:rPr>
        <w:t xml:space="preserve"> </w:t>
      </w:r>
      <w:r w:rsidR="00E849E4" w:rsidRPr="00541E47">
        <w:rPr>
          <w:color w:val="000000" w:themeColor="text1"/>
          <w:lang w:eastAsia="en-US"/>
        </w:rPr>
        <w:t>increase</w:t>
      </w:r>
      <w:r w:rsidRPr="00541E47">
        <w:rPr>
          <w:color w:val="000000" w:themeColor="text1"/>
          <w:lang w:eastAsia="en-US"/>
        </w:rPr>
        <w:t>d</w:t>
      </w:r>
      <w:r w:rsidR="00E849E4" w:rsidRPr="00541E47">
        <w:rPr>
          <w:color w:val="000000" w:themeColor="text1"/>
          <w:lang w:eastAsia="en-US"/>
        </w:rPr>
        <w:t xml:space="preserve"> </w:t>
      </w:r>
      <w:r w:rsidRPr="00541E47">
        <w:rPr>
          <w:color w:val="000000" w:themeColor="text1"/>
          <w:lang w:eastAsia="en-US"/>
        </w:rPr>
        <w:t xml:space="preserve">due mainly to sugar activity. </w:t>
      </w:r>
      <w:r w:rsidR="00C1671D" w:rsidRPr="00541E47">
        <w:rPr>
          <w:color w:val="000000" w:themeColor="text1"/>
          <w:lang w:eastAsia="en-US"/>
        </w:rPr>
        <w:t xml:space="preserve">More generally, total domestic sales increase. </w:t>
      </w:r>
      <w:r w:rsidR="00E849E4" w:rsidRPr="00541E47">
        <w:rPr>
          <w:color w:val="000000" w:themeColor="text1"/>
          <w:lang w:eastAsia="en-US"/>
        </w:rPr>
        <w:t xml:space="preserve"> </w:t>
      </w:r>
    </w:p>
    <w:p w:rsidR="00634DE3" w:rsidRPr="00541E47" w:rsidRDefault="00634DE3" w:rsidP="00E849E4">
      <w:pPr>
        <w:jc w:val="both"/>
        <w:rPr>
          <w:color w:val="000000" w:themeColor="text1"/>
          <w:lang w:eastAsia="en-US"/>
        </w:rPr>
      </w:pPr>
    </w:p>
    <w:p w:rsidR="009875E2" w:rsidRPr="00541E47" w:rsidRDefault="009875E2" w:rsidP="009875E2">
      <w:pPr>
        <w:rPr>
          <w:color w:val="000000" w:themeColor="text1"/>
          <w:lang w:eastAsia="en-US"/>
        </w:rPr>
      </w:pPr>
      <w:r w:rsidRPr="00541E47">
        <w:rPr>
          <w:color w:val="000000" w:themeColor="text1"/>
          <w:lang w:val="en-US"/>
        </w:rPr>
        <w:t xml:space="preserve">Table </w:t>
      </w:r>
      <w:r w:rsidR="00541E47" w:rsidRPr="00541E47">
        <w:rPr>
          <w:color w:val="000000" w:themeColor="text1"/>
          <w:lang w:val="en-US"/>
        </w:rPr>
        <w:t>5</w:t>
      </w:r>
      <w:r w:rsidRPr="00541E47">
        <w:rPr>
          <w:color w:val="000000" w:themeColor="text1"/>
          <w:lang w:val="en-US"/>
        </w:rPr>
        <w:t>: Changes in local sales w.r.t. bau (in %)</w:t>
      </w:r>
    </w:p>
    <w:tbl>
      <w:tblPr>
        <w:tblW w:w="2921" w:type="dxa"/>
        <w:tblInd w:w="91" w:type="dxa"/>
        <w:tblLook w:val="04A0"/>
      </w:tblPr>
      <w:tblGrid>
        <w:gridCol w:w="1961"/>
        <w:gridCol w:w="960"/>
      </w:tblGrid>
      <w:tr w:rsidR="00311411" w:rsidRPr="00541E47" w:rsidTr="00311411">
        <w:trPr>
          <w:trHeight w:val="255"/>
        </w:trPr>
        <w:tc>
          <w:tcPr>
            <w:tcW w:w="1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411" w:rsidRPr="00541E47" w:rsidRDefault="00311411" w:rsidP="00E849E4">
            <w:pPr>
              <w:rPr>
                <w:rFonts w:ascii="Calibri" w:hAnsi="Calibri"/>
                <w:color w:val="000000" w:themeColor="text1"/>
                <w:sz w:val="20"/>
                <w:szCs w:val="20"/>
                <w:lang w:val="en-US" w:eastAsia="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1411" w:rsidRPr="00541E47" w:rsidRDefault="00311411" w:rsidP="00311411">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Sim</w:t>
            </w:r>
          </w:p>
        </w:tc>
      </w:tr>
      <w:tr w:rsidR="000E0EB1" w:rsidRPr="00541E47" w:rsidTr="00311411">
        <w:trPr>
          <w:trHeight w:val="255"/>
        </w:trPr>
        <w:tc>
          <w:tcPr>
            <w:tcW w:w="1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Millet/sorghum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0,15</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Maize</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1,83</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Rice</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2,00</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Vegetables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1,05</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Fruits</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0,85</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Cotton</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0,27</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Groundnut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0,28</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Other agricultural </w:t>
            </w:r>
          </w:p>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Products</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1,04</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Jatropha</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-0,10</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Sugarcane for sugar</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1,73</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Sugarcane  for ethanol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0,31</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Livestock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0,30</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Fishery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1,75</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lastRenderedPageBreak/>
              <w:t>Food oil</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0,43</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food industries</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0,31</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1,44</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industries</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0,39</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Refined oil</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1,41</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Biodiel</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-0,05</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Bioethanol</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0,00</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Crude oil</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Tradable services </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0,02</w:t>
            </w:r>
          </w:p>
        </w:tc>
      </w:tr>
      <w:tr w:rsidR="000E0EB1" w:rsidRPr="00541E47" w:rsidTr="00311411">
        <w:trPr>
          <w:trHeight w:val="255"/>
        </w:trPr>
        <w:tc>
          <w:tcPr>
            <w:tcW w:w="1961"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E849E4">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Total domestic sales</w:t>
            </w:r>
          </w:p>
        </w:tc>
        <w:tc>
          <w:tcPr>
            <w:tcW w:w="960"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1,76</w:t>
            </w:r>
          </w:p>
        </w:tc>
      </w:tr>
    </w:tbl>
    <w:p w:rsidR="00E849E4" w:rsidRPr="00541E47" w:rsidRDefault="00AC6493" w:rsidP="00FE35E1">
      <w:pPr>
        <w:rPr>
          <w:color w:val="000000" w:themeColor="text1"/>
          <w:lang w:eastAsia="en-US"/>
        </w:rPr>
      </w:pPr>
      <w:r w:rsidRPr="00541E47">
        <w:rPr>
          <w:color w:val="000000" w:themeColor="text1"/>
          <w:lang w:eastAsia="en-US"/>
        </w:rPr>
        <w:t>Source: Simulations</w:t>
      </w:r>
    </w:p>
    <w:p w:rsidR="00BE36DB" w:rsidRPr="00541E47" w:rsidRDefault="00BE36DB" w:rsidP="00FE35E1">
      <w:pPr>
        <w:rPr>
          <w:color w:val="000000" w:themeColor="text1"/>
          <w:lang w:eastAsia="en-US"/>
        </w:rPr>
      </w:pPr>
    </w:p>
    <w:p w:rsidR="00311411" w:rsidRPr="00541E47" w:rsidRDefault="00311411" w:rsidP="00FE35E1">
      <w:pPr>
        <w:rPr>
          <w:color w:val="000000" w:themeColor="text1"/>
          <w:lang w:eastAsia="en-US"/>
        </w:rPr>
      </w:pPr>
    </w:p>
    <w:p w:rsidR="00FE35E1" w:rsidRPr="00541E47" w:rsidRDefault="00987027" w:rsidP="00C52CCA">
      <w:pPr>
        <w:rPr>
          <w:b/>
          <w:color w:val="000000" w:themeColor="text1"/>
          <w:lang w:eastAsia="en-US"/>
        </w:rPr>
      </w:pPr>
      <w:r w:rsidRPr="00541E47">
        <w:rPr>
          <w:b/>
          <w:color w:val="000000" w:themeColor="text1"/>
          <w:lang w:eastAsia="en-US"/>
        </w:rPr>
        <w:t xml:space="preserve">Sectoral effects </w:t>
      </w:r>
    </w:p>
    <w:p w:rsidR="00B53C48" w:rsidRPr="00541E47" w:rsidRDefault="00FE35E1" w:rsidP="00C52CCA">
      <w:pPr>
        <w:jc w:val="both"/>
        <w:rPr>
          <w:color w:val="000000" w:themeColor="text1"/>
          <w:lang w:eastAsia="en-US"/>
        </w:rPr>
      </w:pPr>
      <w:r w:rsidRPr="00541E47">
        <w:rPr>
          <w:color w:val="000000" w:themeColor="text1"/>
          <w:lang w:eastAsia="en-US"/>
        </w:rPr>
        <w:t>Under assumed boom in biofuel production</w:t>
      </w:r>
      <w:r w:rsidR="00B942CE" w:rsidRPr="00541E47">
        <w:rPr>
          <w:color w:val="000000" w:themeColor="text1"/>
          <w:lang w:eastAsia="en-US"/>
        </w:rPr>
        <w:t xml:space="preserve"> in the world market</w:t>
      </w:r>
      <w:r w:rsidRPr="00541E47">
        <w:rPr>
          <w:color w:val="000000" w:themeColor="text1"/>
          <w:lang w:eastAsia="en-US"/>
        </w:rPr>
        <w:t>, biodiesel and bioethanol production and valued</w:t>
      </w:r>
      <w:r w:rsidR="005D5717" w:rsidRPr="00541E47">
        <w:rPr>
          <w:color w:val="000000" w:themeColor="text1"/>
          <w:lang w:eastAsia="en-US"/>
        </w:rPr>
        <w:t>-</w:t>
      </w:r>
      <w:r w:rsidR="00B942CE" w:rsidRPr="00541E47">
        <w:rPr>
          <w:color w:val="000000" w:themeColor="text1"/>
          <w:lang w:eastAsia="en-US"/>
        </w:rPr>
        <w:t>added de</w:t>
      </w:r>
      <w:r w:rsidRPr="00541E47">
        <w:rPr>
          <w:color w:val="000000" w:themeColor="text1"/>
          <w:lang w:eastAsia="en-US"/>
        </w:rPr>
        <w:t xml:space="preserve">crease </w:t>
      </w:r>
      <w:r w:rsidR="00B942CE" w:rsidRPr="00541E47">
        <w:rPr>
          <w:color w:val="000000" w:themeColor="text1"/>
          <w:lang w:eastAsia="en-US"/>
        </w:rPr>
        <w:t xml:space="preserve">while the one of </w:t>
      </w:r>
      <w:r w:rsidRPr="00541E47">
        <w:rPr>
          <w:color w:val="000000" w:themeColor="text1"/>
          <w:lang w:eastAsia="en-US"/>
        </w:rPr>
        <w:t>refined oil</w:t>
      </w:r>
      <w:r w:rsidR="00B942CE" w:rsidRPr="00541E47">
        <w:rPr>
          <w:color w:val="000000" w:themeColor="text1"/>
          <w:lang w:eastAsia="en-US"/>
        </w:rPr>
        <w:t xml:space="preserve"> in</w:t>
      </w:r>
      <w:r w:rsidRPr="00541E47">
        <w:rPr>
          <w:color w:val="000000" w:themeColor="text1"/>
          <w:lang w:eastAsia="en-US"/>
        </w:rPr>
        <w:t>crease</w:t>
      </w:r>
      <w:r w:rsidR="005D5717" w:rsidRPr="00541E47">
        <w:rPr>
          <w:color w:val="000000" w:themeColor="text1"/>
          <w:lang w:eastAsia="en-US"/>
        </w:rPr>
        <w:t>s</w:t>
      </w:r>
      <w:r w:rsidR="00541E47" w:rsidRPr="00541E47">
        <w:rPr>
          <w:color w:val="000000" w:themeColor="text1"/>
          <w:lang w:eastAsia="en-US"/>
        </w:rPr>
        <w:t xml:space="preserve"> (table 6</w:t>
      </w:r>
      <w:r w:rsidR="00E96B10" w:rsidRPr="00541E47">
        <w:rPr>
          <w:color w:val="000000" w:themeColor="text1"/>
          <w:lang w:eastAsia="en-US"/>
        </w:rPr>
        <w:t>)</w:t>
      </w:r>
      <w:r w:rsidRPr="00541E47">
        <w:rPr>
          <w:color w:val="000000" w:themeColor="text1"/>
          <w:lang w:eastAsia="en-US"/>
        </w:rPr>
        <w:t>.</w:t>
      </w:r>
      <w:r w:rsidR="00987027" w:rsidRPr="00541E47">
        <w:rPr>
          <w:color w:val="000000" w:themeColor="text1"/>
          <w:lang w:eastAsia="en-US"/>
        </w:rPr>
        <w:t xml:space="preserve"> </w:t>
      </w:r>
      <w:r w:rsidR="00B53C48" w:rsidRPr="00541E47">
        <w:rPr>
          <w:color w:val="000000" w:themeColor="text1"/>
          <w:lang w:eastAsia="en-US"/>
        </w:rPr>
        <w:t xml:space="preserve">The most important increases in value added are experienced by some of the most energy intensive sectors like fishery, rice and sugar. </w:t>
      </w:r>
      <w:r w:rsidR="00E96B10" w:rsidRPr="00541E47">
        <w:rPr>
          <w:color w:val="000000" w:themeColor="text1"/>
          <w:lang w:eastAsia="en-US"/>
        </w:rPr>
        <w:t xml:space="preserve">The value added of tradable services is quite constant. This sector concentrated an important share of non agricultural capital for which price has increased. </w:t>
      </w:r>
      <w:r w:rsidR="00B53C48" w:rsidRPr="00541E47">
        <w:rPr>
          <w:color w:val="000000" w:themeColor="text1"/>
          <w:lang w:eastAsia="en-US"/>
        </w:rPr>
        <w:t xml:space="preserve"> </w:t>
      </w:r>
    </w:p>
    <w:p w:rsidR="009875E2" w:rsidRPr="00541E47" w:rsidRDefault="009875E2" w:rsidP="009875E2">
      <w:pPr>
        <w:rPr>
          <w:color w:val="000000" w:themeColor="text1"/>
          <w:lang w:val="en-US"/>
        </w:rPr>
      </w:pPr>
    </w:p>
    <w:p w:rsidR="009875E2" w:rsidRPr="00541E47" w:rsidRDefault="009875E2" w:rsidP="009875E2">
      <w:pPr>
        <w:rPr>
          <w:color w:val="000000" w:themeColor="text1"/>
          <w:lang w:eastAsia="en-US"/>
        </w:rPr>
      </w:pPr>
      <w:r w:rsidRPr="00541E47">
        <w:rPr>
          <w:color w:val="000000" w:themeColor="text1"/>
          <w:lang w:val="en-US"/>
        </w:rPr>
        <w:t xml:space="preserve">Table </w:t>
      </w:r>
      <w:r w:rsidR="00541E47" w:rsidRPr="00541E47">
        <w:rPr>
          <w:color w:val="000000" w:themeColor="text1"/>
          <w:lang w:val="en-US"/>
        </w:rPr>
        <w:t>6</w:t>
      </w:r>
      <w:r w:rsidRPr="00541E47">
        <w:rPr>
          <w:color w:val="000000" w:themeColor="text1"/>
          <w:lang w:val="en-US"/>
        </w:rPr>
        <w:t>: Changes in value added w.r.t. bau (in %)</w:t>
      </w:r>
    </w:p>
    <w:tbl>
      <w:tblPr>
        <w:tblW w:w="4316" w:type="dxa"/>
        <w:tblInd w:w="91" w:type="dxa"/>
        <w:tblLook w:val="04A0"/>
      </w:tblPr>
      <w:tblGrid>
        <w:gridCol w:w="2107"/>
        <w:gridCol w:w="1162"/>
        <w:gridCol w:w="1047"/>
      </w:tblGrid>
      <w:tr w:rsidR="00311411" w:rsidRPr="00541E47" w:rsidTr="00311411">
        <w:trPr>
          <w:trHeight w:val="255"/>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411" w:rsidRPr="00541E47" w:rsidRDefault="0031141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1411" w:rsidRPr="00541E47" w:rsidRDefault="0031141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GDP share in 2005</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311411" w:rsidRPr="00541E47" w:rsidRDefault="00311411" w:rsidP="00311411">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Sim </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Millet/sorghum</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2,68</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0,15</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Maize</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0,69</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1,85</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Rice</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0,58</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2,00</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Vegetables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0,96</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1,36</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Fruits</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0,88</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1,01</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Cotton</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0,08</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0,35</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Groundnut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2,24</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0,30</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Other agricultural </w:t>
            </w:r>
          </w:p>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Products</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2,87</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1,08</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Jatropha</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0,01</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0,01</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7A767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Sugarcane for sugar</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0,12</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1,73</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7A767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Sugarcane  for ethanol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0,33</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Livestock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4,05</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0,31</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Fishery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1,93</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2,37</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Food oil</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0,32</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0,50</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food industries</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6,32</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0,32</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 </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0,53</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1,45</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2F3FF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industries</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14,11</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0,38</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Refined oil</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0,29</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0,56</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Biodiesel</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0,06</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-0,12</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Bioethanol</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-0,14</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Crude oil</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5A38CA"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5A38CA"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w:t>
            </w:r>
          </w:p>
        </w:tc>
      </w:tr>
      <w:tr w:rsidR="000E0EB1" w:rsidRPr="00541E47" w:rsidTr="00311411">
        <w:trPr>
          <w:trHeight w:val="255"/>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B9138D">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Tradable services</w:t>
            </w:r>
          </w:p>
        </w:tc>
        <w:tc>
          <w:tcPr>
            <w:tcW w:w="1162"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43,40</w:t>
            </w:r>
          </w:p>
        </w:tc>
        <w:tc>
          <w:tcPr>
            <w:tcW w:w="1047" w:type="dxa"/>
            <w:tcBorders>
              <w:top w:val="nil"/>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-0,05</w:t>
            </w:r>
          </w:p>
        </w:tc>
      </w:tr>
      <w:tr w:rsidR="000E0EB1" w:rsidRPr="00541E47" w:rsidTr="00311411">
        <w:trPr>
          <w:trHeight w:val="255"/>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Non Tradable services</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17,89</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0,00</w:t>
            </w:r>
          </w:p>
        </w:tc>
      </w:tr>
      <w:tr w:rsidR="000E0EB1" w:rsidRPr="00541E47" w:rsidTr="00311411">
        <w:trPr>
          <w:trHeight w:val="255"/>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EB1" w:rsidRPr="00541E47" w:rsidRDefault="000E0EB1" w:rsidP="00FE35E1">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Total</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7A767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100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0E0EB1" w:rsidRPr="00541E47" w:rsidRDefault="000E0EB1" w:rsidP="004E0C38">
            <w:pPr>
              <w:jc w:val="center"/>
              <w:rPr>
                <w:rFonts w:ascii="Calibri" w:hAnsi="Calibri"/>
                <w:color w:val="000000" w:themeColor="text1"/>
                <w:sz w:val="22"/>
                <w:szCs w:val="22"/>
                <w:lang w:val="en-US" w:eastAsia="en-US"/>
              </w:rPr>
            </w:pPr>
            <w:r w:rsidRPr="00541E47">
              <w:rPr>
                <w:rFonts w:ascii="Calibri" w:hAnsi="Calibri"/>
                <w:color w:val="000000" w:themeColor="text1"/>
                <w:sz w:val="22"/>
                <w:szCs w:val="22"/>
                <w:lang w:val="en-US" w:eastAsia="en-US"/>
              </w:rPr>
              <w:t>0,74</w:t>
            </w:r>
          </w:p>
        </w:tc>
      </w:tr>
    </w:tbl>
    <w:p w:rsidR="00EE33F5" w:rsidRPr="00541E47" w:rsidRDefault="00EE33F5" w:rsidP="00EE33F5">
      <w:pPr>
        <w:spacing w:line="360" w:lineRule="auto"/>
        <w:jc w:val="both"/>
        <w:rPr>
          <w:color w:val="000000" w:themeColor="text1"/>
          <w:lang w:eastAsia="en-US"/>
        </w:rPr>
      </w:pPr>
      <w:r w:rsidRPr="00541E47">
        <w:rPr>
          <w:color w:val="000000" w:themeColor="text1"/>
          <w:lang w:eastAsia="en-US"/>
        </w:rPr>
        <w:t>Source: Senegalese SAM, 2005</w:t>
      </w:r>
      <w:r w:rsidR="00AC6493" w:rsidRPr="00541E47">
        <w:rPr>
          <w:color w:val="000000" w:themeColor="text1"/>
          <w:lang w:eastAsia="en-US"/>
        </w:rPr>
        <w:t xml:space="preserve"> and simulations</w:t>
      </w:r>
    </w:p>
    <w:p w:rsidR="00F37CCE" w:rsidRPr="00541E47" w:rsidRDefault="00F37CCE" w:rsidP="00B02175">
      <w:pPr>
        <w:spacing w:line="360" w:lineRule="auto"/>
        <w:jc w:val="both"/>
        <w:rPr>
          <w:color w:val="000000" w:themeColor="text1"/>
          <w:lang w:eastAsia="en-US"/>
        </w:rPr>
      </w:pPr>
    </w:p>
    <w:p w:rsidR="00FE35E1" w:rsidRPr="00541E47" w:rsidRDefault="00FE35E1" w:rsidP="00B02175">
      <w:pPr>
        <w:spacing w:line="360" w:lineRule="auto"/>
        <w:jc w:val="both"/>
        <w:rPr>
          <w:color w:val="000000" w:themeColor="text1"/>
          <w:lang w:eastAsia="en-US"/>
        </w:rPr>
      </w:pPr>
      <w:r w:rsidRPr="00541E47">
        <w:rPr>
          <w:color w:val="000000" w:themeColor="text1"/>
          <w:lang w:eastAsia="en-US"/>
        </w:rPr>
        <w:lastRenderedPageBreak/>
        <w:t xml:space="preserve">The GDP increases </w:t>
      </w:r>
      <w:r w:rsidR="00E96B10" w:rsidRPr="00541E47">
        <w:rPr>
          <w:color w:val="000000" w:themeColor="text1"/>
          <w:lang w:eastAsia="en-US"/>
        </w:rPr>
        <w:t>during the whole period as returns to all factors increase in the economy</w:t>
      </w:r>
      <w:r w:rsidR="00541E47" w:rsidRPr="00541E47">
        <w:rPr>
          <w:color w:val="000000" w:themeColor="text1"/>
          <w:lang w:eastAsia="en-US"/>
        </w:rPr>
        <w:t xml:space="preserve"> (graph 5)</w:t>
      </w:r>
      <w:r w:rsidRPr="00541E47">
        <w:rPr>
          <w:color w:val="000000" w:themeColor="text1"/>
          <w:lang w:eastAsia="en-US"/>
        </w:rPr>
        <w:t xml:space="preserve">.  </w:t>
      </w:r>
      <w:r w:rsidR="00270218" w:rsidRPr="00541E47">
        <w:rPr>
          <w:color w:val="000000" w:themeColor="text1"/>
          <w:lang w:eastAsia="en-US"/>
        </w:rPr>
        <w:t xml:space="preserve"> </w:t>
      </w:r>
    </w:p>
    <w:p w:rsidR="007348DD" w:rsidRPr="00541E47" w:rsidRDefault="007348DD" w:rsidP="00B02175">
      <w:pPr>
        <w:spacing w:line="360" w:lineRule="auto"/>
        <w:jc w:val="both"/>
        <w:rPr>
          <w:color w:val="000000" w:themeColor="text1"/>
          <w:lang w:eastAsia="en-US"/>
        </w:rPr>
      </w:pPr>
    </w:p>
    <w:p w:rsidR="00D73326" w:rsidRPr="00541E47" w:rsidRDefault="00541E47" w:rsidP="007348DD">
      <w:pPr>
        <w:rPr>
          <w:color w:val="000000" w:themeColor="text1"/>
          <w:lang w:val="en-US"/>
        </w:rPr>
      </w:pPr>
      <w:r w:rsidRPr="00541E47">
        <w:rPr>
          <w:color w:val="000000" w:themeColor="text1"/>
          <w:lang w:val="en-US"/>
        </w:rPr>
        <w:t>Graph 5</w:t>
      </w:r>
      <w:r w:rsidR="009875E2" w:rsidRPr="00541E47">
        <w:rPr>
          <w:color w:val="000000" w:themeColor="text1"/>
          <w:lang w:val="en-US"/>
        </w:rPr>
        <w:t>: Changes in GDP w.r.t. bau (in %)</w:t>
      </w:r>
    </w:p>
    <w:p w:rsidR="000E0EB1" w:rsidRPr="00541E47" w:rsidRDefault="000E0EB1" w:rsidP="007348DD">
      <w:pPr>
        <w:rPr>
          <w:color w:val="000000" w:themeColor="text1"/>
          <w:lang w:val="en-US"/>
        </w:rPr>
      </w:pPr>
      <w:r w:rsidRPr="00541E47">
        <w:rPr>
          <w:noProof/>
          <w:color w:val="000000" w:themeColor="text1"/>
          <w:lang w:val="fr-FR" w:eastAsia="fr-FR"/>
        </w:rPr>
        <w:drawing>
          <wp:inline distT="0" distB="0" distL="0" distR="0">
            <wp:extent cx="5903595" cy="2360428"/>
            <wp:effectExtent l="19050" t="0" r="20955" b="1772"/>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48DD" w:rsidRPr="00541E47" w:rsidRDefault="007348DD" w:rsidP="007348DD">
      <w:pPr>
        <w:spacing w:line="360" w:lineRule="auto"/>
        <w:jc w:val="both"/>
        <w:rPr>
          <w:color w:val="000000" w:themeColor="text1"/>
          <w:sz w:val="20"/>
          <w:szCs w:val="20"/>
        </w:rPr>
      </w:pPr>
      <w:r w:rsidRPr="00541E47">
        <w:rPr>
          <w:color w:val="000000" w:themeColor="text1"/>
          <w:sz w:val="20"/>
          <w:szCs w:val="20"/>
        </w:rPr>
        <w:t xml:space="preserve">Source: simulations </w:t>
      </w:r>
    </w:p>
    <w:p w:rsidR="007348DD" w:rsidRPr="00541E47" w:rsidRDefault="007348DD" w:rsidP="002914A9">
      <w:pPr>
        <w:spacing w:line="360" w:lineRule="auto"/>
        <w:rPr>
          <w:b/>
          <w:color w:val="000000" w:themeColor="text1"/>
          <w:lang w:eastAsia="en-US"/>
        </w:rPr>
      </w:pPr>
    </w:p>
    <w:p w:rsidR="00FE35E1" w:rsidRPr="00541E47" w:rsidRDefault="00FE35E1" w:rsidP="00C52CCA">
      <w:pPr>
        <w:rPr>
          <w:b/>
          <w:color w:val="000000" w:themeColor="text1"/>
          <w:lang w:eastAsia="en-US"/>
        </w:rPr>
      </w:pPr>
      <w:r w:rsidRPr="00541E47">
        <w:rPr>
          <w:b/>
          <w:color w:val="000000" w:themeColor="text1"/>
          <w:lang w:eastAsia="en-US"/>
        </w:rPr>
        <w:t xml:space="preserve">Returns to factors </w:t>
      </w:r>
    </w:p>
    <w:p w:rsidR="005A38CA" w:rsidRPr="00541E47" w:rsidRDefault="00AC54BA" w:rsidP="00C52CCA">
      <w:pPr>
        <w:jc w:val="both"/>
        <w:rPr>
          <w:color w:val="000000" w:themeColor="text1"/>
          <w:lang w:eastAsia="en-US"/>
        </w:rPr>
      </w:pPr>
      <w:r w:rsidRPr="00541E47">
        <w:rPr>
          <w:color w:val="000000" w:themeColor="text1"/>
          <w:lang w:eastAsia="en-US"/>
        </w:rPr>
        <w:t>Capital used in agriculture is more concentrated in groundnut, millet/sorghum, rice and other type of agricultural sub-sectors. Agricultural capital is specific to the agricultural sector, and does not move to other sectors. Services and industries use the largest share of labor within the economy. Changes in factor demand and wage returns will depend on how all the sectors are affected. The analysis of returns to factors suggests that wages rate increase w.r.t. the BAU during the whole period</w:t>
      </w:r>
      <w:r w:rsidR="00541E47" w:rsidRPr="00541E47">
        <w:rPr>
          <w:color w:val="000000" w:themeColor="text1"/>
          <w:lang w:eastAsia="en-US"/>
        </w:rPr>
        <w:t xml:space="preserve"> as observed in the graph 6</w:t>
      </w:r>
      <w:r w:rsidRPr="00541E47">
        <w:rPr>
          <w:color w:val="000000" w:themeColor="text1"/>
          <w:lang w:eastAsia="en-US"/>
        </w:rPr>
        <w:t xml:space="preserve">. </w:t>
      </w:r>
      <w:r w:rsidR="00637085" w:rsidRPr="00541E47">
        <w:rPr>
          <w:color w:val="000000" w:themeColor="text1"/>
          <w:lang w:eastAsia="en-US"/>
        </w:rPr>
        <w:t xml:space="preserve">This trend is </w:t>
      </w:r>
      <w:r w:rsidR="00D807B7" w:rsidRPr="00541E47">
        <w:rPr>
          <w:color w:val="000000" w:themeColor="text1"/>
          <w:lang w:eastAsia="en-US"/>
        </w:rPr>
        <w:t xml:space="preserve">similar to the one </w:t>
      </w:r>
      <w:r w:rsidR="00637085" w:rsidRPr="00541E47">
        <w:rPr>
          <w:color w:val="000000" w:themeColor="text1"/>
          <w:lang w:eastAsia="en-US"/>
        </w:rPr>
        <w:t xml:space="preserve">reflected by the </w:t>
      </w:r>
      <w:r w:rsidR="00D807B7" w:rsidRPr="00541E47">
        <w:rPr>
          <w:color w:val="000000" w:themeColor="text1"/>
          <w:lang w:eastAsia="en-US"/>
        </w:rPr>
        <w:t>GDP</w:t>
      </w:r>
      <w:r w:rsidR="00541E47" w:rsidRPr="00541E47">
        <w:rPr>
          <w:color w:val="000000" w:themeColor="text1"/>
          <w:lang w:eastAsia="en-US"/>
        </w:rPr>
        <w:t xml:space="preserve"> (graph 5</w:t>
      </w:r>
      <w:r w:rsidR="00E95013" w:rsidRPr="00541E47">
        <w:rPr>
          <w:color w:val="000000" w:themeColor="text1"/>
          <w:lang w:eastAsia="en-US"/>
        </w:rPr>
        <w:t>)</w:t>
      </w:r>
      <w:r w:rsidR="00D807B7" w:rsidRPr="00541E47">
        <w:rPr>
          <w:color w:val="000000" w:themeColor="text1"/>
          <w:lang w:eastAsia="en-US"/>
        </w:rPr>
        <w:t xml:space="preserve">. However, increasing GDP observed seems to be </w:t>
      </w:r>
      <w:r w:rsidR="00AD441A" w:rsidRPr="00541E47">
        <w:rPr>
          <w:color w:val="000000" w:themeColor="text1"/>
          <w:lang w:eastAsia="en-US"/>
        </w:rPr>
        <w:t xml:space="preserve">also </w:t>
      </w:r>
      <w:r w:rsidR="00D807B7" w:rsidRPr="00541E47">
        <w:rPr>
          <w:color w:val="000000" w:themeColor="text1"/>
          <w:lang w:eastAsia="en-US"/>
        </w:rPr>
        <w:t xml:space="preserve">induced by </w:t>
      </w:r>
      <w:r w:rsidR="005A38CA" w:rsidRPr="00541E47">
        <w:rPr>
          <w:color w:val="000000" w:themeColor="text1"/>
          <w:lang w:eastAsia="en-US"/>
        </w:rPr>
        <w:t xml:space="preserve">rising </w:t>
      </w:r>
      <w:r w:rsidR="00D807B7" w:rsidRPr="00541E47">
        <w:rPr>
          <w:color w:val="000000" w:themeColor="text1"/>
          <w:lang w:eastAsia="en-US"/>
        </w:rPr>
        <w:t xml:space="preserve">returns to agricultural capital. One can observe that </w:t>
      </w:r>
      <w:r w:rsidR="005A38CA" w:rsidRPr="00541E47">
        <w:rPr>
          <w:color w:val="000000" w:themeColor="text1"/>
          <w:lang w:eastAsia="en-US"/>
        </w:rPr>
        <w:t>if</w:t>
      </w:r>
      <w:r w:rsidR="00D807B7" w:rsidRPr="00541E47">
        <w:rPr>
          <w:color w:val="000000" w:themeColor="text1"/>
          <w:lang w:eastAsia="en-US"/>
        </w:rPr>
        <w:t xml:space="preserve"> </w:t>
      </w:r>
      <w:r w:rsidR="005A38CA" w:rsidRPr="00541E47">
        <w:rPr>
          <w:color w:val="000000" w:themeColor="text1"/>
          <w:lang w:eastAsia="en-US"/>
        </w:rPr>
        <w:t xml:space="preserve">the </w:t>
      </w:r>
      <w:r w:rsidR="00D807B7" w:rsidRPr="00541E47">
        <w:rPr>
          <w:color w:val="000000" w:themeColor="text1"/>
          <w:lang w:eastAsia="en-US"/>
        </w:rPr>
        <w:t xml:space="preserve">trend of returns to </w:t>
      </w:r>
      <w:r w:rsidR="005A38CA" w:rsidRPr="00541E47">
        <w:rPr>
          <w:color w:val="000000" w:themeColor="text1"/>
          <w:lang w:eastAsia="en-US"/>
        </w:rPr>
        <w:t xml:space="preserve">non </w:t>
      </w:r>
      <w:r w:rsidR="00D807B7" w:rsidRPr="00541E47">
        <w:rPr>
          <w:color w:val="000000" w:themeColor="text1"/>
          <w:lang w:eastAsia="en-US"/>
        </w:rPr>
        <w:t xml:space="preserve">agricultural </w:t>
      </w:r>
      <w:r w:rsidR="005A38CA" w:rsidRPr="00541E47">
        <w:rPr>
          <w:color w:val="000000" w:themeColor="text1"/>
          <w:lang w:eastAsia="en-US"/>
        </w:rPr>
        <w:t>is</w:t>
      </w:r>
      <w:r w:rsidR="00D807B7" w:rsidRPr="00541E47">
        <w:rPr>
          <w:color w:val="000000" w:themeColor="text1"/>
          <w:lang w:eastAsia="en-US"/>
        </w:rPr>
        <w:t xml:space="preserve"> quite flat, </w:t>
      </w:r>
      <w:r w:rsidR="005A38CA" w:rsidRPr="00541E47">
        <w:rPr>
          <w:color w:val="000000" w:themeColor="text1"/>
          <w:lang w:eastAsia="en-US"/>
        </w:rPr>
        <w:t>retunrs to agricultural capital has increased during the whole period</w:t>
      </w:r>
      <w:r w:rsidR="00541E47" w:rsidRPr="00541E47">
        <w:rPr>
          <w:color w:val="000000" w:themeColor="text1"/>
          <w:lang w:eastAsia="en-US"/>
        </w:rPr>
        <w:t xml:space="preserve"> (graph 7</w:t>
      </w:r>
      <w:r w:rsidR="00E95013" w:rsidRPr="00541E47">
        <w:rPr>
          <w:color w:val="000000" w:themeColor="text1"/>
          <w:lang w:eastAsia="en-US"/>
        </w:rPr>
        <w:t>)</w:t>
      </w:r>
      <w:r w:rsidR="005A38CA" w:rsidRPr="00541E47">
        <w:rPr>
          <w:color w:val="000000" w:themeColor="text1"/>
          <w:lang w:eastAsia="en-US"/>
        </w:rPr>
        <w:t xml:space="preserve">. </w:t>
      </w:r>
    </w:p>
    <w:p w:rsidR="005A38CA" w:rsidRPr="00541E47" w:rsidRDefault="005A0991" w:rsidP="00C52CCA">
      <w:pPr>
        <w:jc w:val="both"/>
        <w:rPr>
          <w:color w:val="000000" w:themeColor="text1"/>
          <w:lang w:eastAsia="en-US"/>
        </w:rPr>
      </w:pPr>
      <w:r w:rsidRPr="00541E47">
        <w:rPr>
          <w:color w:val="000000" w:themeColor="text1"/>
          <w:lang w:eastAsia="en-US"/>
        </w:rPr>
        <w:t xml:space="preserve">Due to a </w:t>
      </w:r>
      <w:r w:rsidR="005A38CA" w:rsidRPr="00541E47">
        <w:rPr>
          <w:color w:val="000000" w:themeColor="text1"/>
          <w:lang w:eastAsia="en-US"/>
        </w:rPr>
        <w:t xml:space="preserve">quite stagnant </w:t>
      </w:r>
      <w:r w:rsidRPr="00541E47">
        <w:rPr>
          <w:color w:val="000000" w:themeColor="text1"/>
          <w:lang w:eastAsia="en-US"/>
        </w:rPr>
        <w:t xml:space="preserve">production and value added </w:t>
      </w:r>
      <w:r w:rsidR="005A38CA" w:rsidRPr="00541E47">
        <w:rPr>
          <w:color w:val="000000" w:themeColor="text1"/>
          <w:lang w:eastAsia="en-US"/>
        </w:rPr>
        <w:t>of jatropha</w:t>
      </w:r>
      <w:r w:rsidRPr="00541E47">
        <w:rPr>
          <w:color w:val="000000" w:themeColor="text1"/>
          <w:lang w:eastAsia="en-US"/>
        </w:rPr>
        <w:t xml:space="preserve">, </w:t>
      </w:r>
      <w:r w:rsidR="005A38CA" w:rsidRPr="00541E47">
        <w:rPr>
          <w:color w:val="000000" w:themeColor="text1"/>
          <w:lang w:eastAsia="en-US"/>
        </w:rPr>
        <w:t xml:space="preserve">except for the second sub-period, no significant changes are recorded for </w:t>
      </w:r>
      <w:r w:rsidRPr="00541E47">
        <w:rPr>
          <w:color w:val="000000" w:themeColor="text1"/>
          <w:lang w:eastAsia="en-US"/>
        </w:rPr>
        <w:t>return</w:t>
      </w:r>
      <w:r w:rsidR="005A38CA" w:rsidRPr="00541E47">
        <w:rPr>
          <w:color w:val="000000" w:themeColor="text1"/>
          <w:lang w:eastAsia="en-US"/>
        </w:rPr>
        <w:t>s</w:t>
      </w:r>
      <w:r w:rsidRPr="00541E47">
        <w:rPr>
          <w:color w:val="000000" w:themeColor="text1"/>
          <w:lang w:eastAsia="en-US"/>
        </w:rPr>
        <w:t xml:space="preserve"> to jatropha land</w:t>
      </w:r>
      <w:r w:rsidR="00E95013" w:rsidRPr="00541E47">
        <w:rPr>
          <w:color w:val="000000" w:themeColor="text1"/>
          <w:lang w:eastAsia="en-US"/>
        </w:rPr>
        <w:t xml:space="preserve"> (graph</w:t>
      </w:r>
      <w:r w:rsidR="00541E47" w:rsidRPr="00541E47">
        <w:rPr>
          <w:color w:val="000000" w:themeColor="text1"/>
          <w:lang w:eastAsia="en-US"/>
        </w:rPr>
        <w:t xml:space="preserve"> 8</w:t>
      </w:r>
      <w:r w:rsidR="00E95013" w:rsidRPr="00541E47">
        <w:rPr>
          <w:color w:val="000000" w:themeColor="text1"/>
          <w:lang w:eastAsia="en-US"/>
        </w:rPr>
        <w:t>)</w:t>
      </w:r>
      <w:r w:rsidRPr="00541E47">
        <w:rPr>
          <w:color w:val="000000" w:themeColor="text1"/>
          <w:lang w:eastAsia="en-US"/>
        </w:rPr>
        <w:t xml:space="preserve">. </w:t>
      </w:r>
      <w:r w:rsidR="005A38CA" w:rsidRPr="00541E47">
        <w:rPr>
          <w:color w:val="000000" w:themeColor="text1"/>
          <w:lang w:eastAsia="en-US"/>
        </w:rPr>
        <w:t>R</w:t>
      </w:r>
      <w:r w:rsidRPr="00541E47">
        <w:rPr>
          <w:color w:val="000000" w:themeColor="text1"/>
          <w:lang w:eastAsia="en-US"/>
        </w:rPr>
        <w:t>eturn</w:t>
      </w:r>
      <w:r w:rsidR="005A38CA" w:rsidRPr="00541E47">
        <w:rPr>
          <w:color w:val="000000" w:themeColor="text1"/>
          <w:lang w:eastAsia="en-US"/>
        </w:rPr>
        <w:t>s</w:t>
      </w:r>
      <w:r w:rsidRPr="00541E47">
        <w:rPr>
          <w:color w:val="000000" w:themeColor="text1"/>
          <w:lang w:eastAsia="en-US"/>
        </w:rPr>
        <w:t xml:space="preserve"> to </w:t>
      </w:r>
      <w:r w:rsidR="005A38CA" w:rsidRPr="00541E47">
        <w:rPr>
          <w:color w:val="000000" w:themeColor="text1"/>
          <w:lang w:eastAsia="en-US"/>
        </w:rPr>
        <w:t>sugarcane ha</w:t>
      </w:r>
      <w:r w:rsidR="00E95013" w:rsidRPr="00541E47">
        <w:rPr>
          <w:color w:val="000000" w:themeColor="text1"/>
          <w:lang w:eastAsia="en-US"/>
        </w:rPr>
        <w:t>ve</w:t>
      </w:r>
      <w:r w:rsidR="005A38CA" w:rsidRPr="00541E47">
        <w:rPr>
          <w:color w:val="000000" w:themeColor="text1"/>
          <w:lang w:eastAsia="en-US"/>
        </w:rPr>
        <w:t xml:space="preserve"> increased during the whole period due </w:t>
      </w:r>
      <w:r w:rsidR="00E95013" w:rsidRPr="00541E47">
        <w:rPr>
          <w:color w:val="000000" w:themeColor="text1"/>
          <w:lang w:eastAsia="en-US"/>
        </w:rPr>
        <w:t xml:space="preserve">increasing supply of sugar which pulled sugarcane production. Rice land is the one which experienced the more significant increase.  </w:t>
      </w:r>
    </w:p>
    <w:p w:rsidR="00FE35E1" w:rsidRPr="00541E47" w:rsidRDefault="00637085" w:rsidP="002914A9">
      <w:pPr>
        <w:spacing w:line="360" w:lineRule="auto"/>
        <w:jc w:val="both"/>
        <w:rPr>
          <w:color w:val="000000" w:themeColor="text1"/>
          <w:lang w:eastAsia="en-US"/>
        </w:rPr>
      </w:pPr>
      <w:r w:rsidRPr="00541E47">
        <w:rPr>
          <w:color w:val="000000" w:themeColor="text1"/>
          <w:lang w:eastAsia="en-US"/>
        </w:rPr>
        <w:t xml:space="preserve">    </w:t>
      </w:r>
      <w:r w:rsidR="00FE35E1" w:rsidRPr="00541E47">
        <w:rPr>
          <w:color w:val="000000" w:themeColor="text1"/>
          <w:lang w:eastAsia="en-US"/>
        </w:rPr>
        <w:t xml:space="preserve">    </w:t>
      </w:r>
    </w:p>
    <w:p w:rsidR="001962A9" w:rsidRPr="00541E47" w:rsidRDefault="001962A9" w:rsidP="001962A9">
      <w:pPr>
        <w:rPr>
          <w:color w:val="000000" w:themeColor="text1"/>
          <w:lang w:val="en-US"/>
        </w:rPr>
      </w:pPr>
      <w:r w:rsidRPr="00541E47">
        <w:rPr>
          <w:color w:val="000000" w:themeColor="text1"/>
          <w:lang w:val="en-US"/>
        </w:rPr>
        <w:t xml:space="preserve">Graph </w:t>
      </w:r>
      <w:r w:rsidR="00541E47" w:rsidRPr="00541E47">
        <w:rPr>
          <w:color w:val="000000" w:themeColor="text1"/>
          <w:lang w:val="en-US"/>
        </w:rPr>
        <w:t>6</w:t>
      </w:r>
      <w:r w:rsidRPr="00541E47">
        <w:rPr>
          <w:color w:val="000000" w:themeColor="text1"/>
          <w:lang w:val="en-US"/>
        </w:rPr>
        <w:t>: Changes in wage rate (in %)</w:t>
      </w:r>
    </w:p>
    <w:p w:rsidR="00AD441A" w:rsidRPr="00541E47" w:rsidRDefault="00AD441A" w:rsidP="001962A9">
      <w:pPr>
        <w:rPr>
          <w:color w:val="000000" w:themeColor="text1"/>
          <w:lang w:val="en-US"/>
        </w:rPr>
      </w:pPr>
      <w:r w:rsidRPr="00541E47">
        <w:rPr>
          <w:noProof/>
          <w:color w:val="000000" w:themeColor="text1"/>
          <w:lang w:val="fr-FR" w:eastAsia="fr-FR"/>
        </w:rPr>
        <w:drawing>
          <wp:inline distT="0" distB="0" distL="0" distR="0">
            <wp:extent cx="5886775" cy="2296632"/>
            <wp:effectExtent l="19050" t="0" r="18725" b="841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8DD" w:rsidRPr="00541E47" w:rsidRDefault="007348DD" w:rsidP="007348DD">
      <w:pPr>
        <w:spacing w:line="360" w:lineRule="auto"/>
        <w:jc w:val="both"/>
        <w:rPr>
          <w:color w:val="000000" w:themeColor="text1"/>
          <w:sz w:val="20"/>
          <w:szCs w:val="20"/>
        </w:rPr>
      </w:pPr>
      <w:r w:rsidRPr="00541E47">
        <w:rPr>
          <w:color w:val="000000" w:themeColor="text1"/>
          <w:sz w:val="20"/>
          <w:szCs w:val="20"/>
        </w:rPr>
        <w:t xml:space="preserve">Source: simulations </w:t>
      </w:r>
    </w:p>
    <w:p w:rsidR="00D73326" w:rsidRPr="00541E47" w:rsidRDefault="001962A9" w:rsidP="001962A9">
      <w:pPr>
        <w:rPr>
          <w:color w:val="000000" w:themeColor="text1"/>
          <w:lang w:val="en-US"/>
        </w:rPr>
      </w:pPr>
      <w:r w:rsidRPr="00541E47">
        <w:rPr>
          <w:color w:val="000000" w:themeColor="text1"/>
          <w:lang w:val="en-US"/>
        </w:rPr>
        <w:lastRenderedPageBreak/>
        <w:t xml:space="preserve">Graph </w:t>
      </w:r>
      <w:r w:rsidR="00541E47" w:rsidRPr="00541E47">
        <w:rPr>
          <w:color w:val="000000" w:themeColor="text1"/>
          <w:lang w:val="en-US"/>
        </w:rPr>
        <w:t>7</w:t>
      </w:r>
      <w:r w:rsidRPr="00541E47">
        <w:rPr>
          <w:color w:val="000000" w:themeColor="text1"/>
          <w:lang w:val="en-US"/>
        </w:rPr>
        <w:t>: Changes in returns to capital (in %)</w:t>
      </w:r>
    </w:p>
    <w:p w:rsidR="00AD441A" w:rsidRPr="00541E47" w:rsidRDefault="00AD441A" w:rsidP="001962A9">
      <w:pPr>
        <w:rPr>
          <w:color w:val="000000" w:themeColor="text1"/>
          <w:lang w:val="en-US"/>
        </w:rPr>
      </w:pPr>
      <w:r w:rsidRPr="00541E47">
        <w:rPr>
          <w:noProof/>
          <w:color w:val="000000" w:themeColor="text1"/>
          <w:lang w:val="fr-FR" w:eastAsia="fr-FR"/>
        </w:rPr>
        <w:drawing>
          <wp:inline distT="0" distB="0" distL="0" distR="0">
            <wp:extent cx="5882965" cy="2371060"/>
            <wp:effectExtent l="19050" t="0" r="2253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48DD" w:rsidRPr="00541E47" w:rsidRDefault="007348DD" w:rsidP="007348DD">
      <w:pPr>
        <w:spacing w:line="360" w:lineRule="auto"/>
        <w:jc w:val="both"/>
        <w:rPr>
          <w:color w:val="000000" w:themeColor="text1"/>
          <w:sz w:val="20"/>
          <w:szCs w:val="20"/>
        </w:rPr>
      </w:pPr>
      <w:r w:rsidRPr="00541E47">
        <w:rPr>
          <w:color w:val="000000" w:themeColor="text1"/>
          <w:sz w:val="20"/>
          <w:szCs w:val="20"/>
        </w:rPr>
        <w:t xml:space="preserve">Source: simulations </w:t>
      </w:r>
    </w:p>
    <w:p w:rsidR="00EE33F5" w:rsidRPr="00541E47" w:rsidRDefault="00EE33F5" w:rsidP="001962A9">
      <w:pPr>
        <w:rPr>
          <w:color w:val="000000" w:themeColor="text1"/>
          <w:lang w:val="en-US"/>
        </w:rPr>
      </w:pPr>
    </w:p>
    <w:p w:rsidR="001962A9" w:rsidRPr="00541E47" w:rsidRDefault="001962A9" w:rsidP="001962A9">
      <w:pPr>
        <w:rPr>
          <w:color w:val="000000" w:themeColor="text1"/>
          <w:lang w:val="en-US"/>
        </w:rPr>
      </w:pPr>
      <w:r w:rsidRPr="00541E47">
        <w:rPr>
          <w:color w:val="000000" w:themeColor="text1"/>
          <w:lang w:val="en-US"/>
        </w:rPr>
        <w:t xml:space="preserve">Graph </w:t>
      </w:r>
      <w:r w:rsidR="00541E47" w:rsidRPr="00541E47">
        <w:rPr>
          <w:color w:val="000000" w:themeColor="text1"/>
          <w:lang w:val="en-US"/>
        </w:rPr>
        <w:t>8</w:t>
      </w:r>
      <w:r w:rsidRPr="00541E47">
        <w:rPr>
          <w:color w:val="000000" w:themeColor="text1"/>
          <w:lang w:val="en-US"/>
        </w:rPr>
        <w:t>: Changes in the return to land (in %)</w:t>
      </w:r>
    </w:p>
    <w:p w:rsidR="00AD441A" w:rsidRPr="00541E47" w:rsidRDefault="00AD441A" w:rsidP="001962A9">
      <w:pPr>
        <w:rPr>
          <w:color w:val="000000" w:themeColor="text1"/>
          <w:lang w:val="en-US"/>
        </w:rPr>
      </w:pPr>
      <w:r w:rsidRPr="00541E47">
        <w:rPr>
          <w:noProof/>
          <w:color w:val="000000" w:themeColor="text1"/>
          <w:lang w:val="fr-FR" w:eastAsia="fr-FR"/>
        </w:rPr>
        <w:drawing>
          <wp:inline distT="0" distB="0" distL="0" distR="0">
            <wp:extent cx="5976118" cy="2498651"/>
            <wp:effectExtent l="19050" t="0" r="24632"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48DD" w:rsidRPr="00541E47" w:rsidRDefault="007348DD" w:rsidP="007348DD">
      <w:pPr>
        <w:spacing w:line="360" w:lineRule="auto"/>
        <w:jc w:val="both"/>
        <w:rPr>
          <w:color w:val="000000" w:themeColor="text1"/>
          <w:sz w:val="20"/>
          <w:szCs w:val="20"/>
        </w:rPr>
      </w:pPr>
      <w:r w:rsidRPr="00541E47">
        <w:rPr>
          <w:color w:val="000000" w:themeColor="text1"/>
          <w:sz w:val="20"/>
          <w:szCs w:val="20"/>
        </w:rPr>
        <w:t xml:space="preserve">Source: simulations </w:t>
      </w:r>
    </w:p>
    <w:p w:rsidR="00BE36DB" w:rsidRPr="00541E47" w:rsidRDefault="00BE36DB" w:rsidP="00DE3CAF">
      <w:pPr>
        <w:rPr>
          <w:b/>
          <w:color w:val="000000" w:themeColor="text1"/>
        </w:rPr>
      </w:pPr>
    </w:p>
    <w:p w:rsidR="00E96B10" w:rsidRPr="00541E47" w:rsidRDefault="00E96B10" w:rsidP="000115EF">
      <w:pPr>
        <w:jc w:val="both"/>
        <w:rPr>
          <w:b/>
          <w:color w:val="000000" w:themeColor="text1"/>
          <w:lang w:eastAsia="en-US"/>
        </w:rPr>
      </w:pPr>
    </w:p>
    <w:p w:rsidR="00E96B10" w:rsidRPr="00541E47" w:rsidRDefault="00E96B10" w:rsidP="000115EF">
      <w:pPr>
        <w:jc w:val="both"/>
        <w:rPr>
          <w:b/>
          <w:color w:val="000000" w:themeColor="text1"/>
          <w:lang w:eastAsia="en-US"/>
        </w:rPr>
      </w:pPr>
    </w:p>
    <w:p w:rsidR="00DE3CAF" w:rsidRPr="00541E47" w:rsidRDefault="009466E5" w:rsidP="000115EF">
      <w:pPr>
        <w:jc w:val="both"/>
        <w:rPr>
          <w:b/>
          <w:color w:val="000000" w:themeColor="text1"/>
          <w:lang w:eastAsia="en-US"/>
        </w:rPr>
      </w:pPr>
      <w:r w:rsidRPr="00541E47">
        <w:rPr>
          <w:b/>
          <w:color w:val="000000" w:themeColor="text1"/>
          <w:lang w:eastAsia="en-US"/>
        </w:rPr>
        <w:t>P</w:t>
      </w:r>
      <w:r w:rsidR="00DE3CAF" w:rsidRPr="00541E47">
        <w:rPr>
          <w:b/>
          <w:color w:val="000000" w:themeColor="text1"/>
          <w:lang w:eastAsia="en-US"/>
        </w:rPr>
        <w:t xml:space="preserve">overty </w:t>
      </w:r>
      <w:r w:rsidRPr="00541E47">
        <w:rPr>
          <w:b/>
          <w:color w:val="000000" w:themeColor="text1"/>
          <w:lang w:eastAsia="en-US"/>
        </w:rPr>
        <w:t xml:space="preserve">effects </w:t>
      </w:r>
    </w:p>
    <w:p w:rsidR="00A57854" w:rsidRPr="00541E47" w:rsidRDefault="006956E7" w:rsidP="000115EF">
      <w:pPr>
        <w:jc w:val="both"/>
        <w:rPr>
          <w:color w:val="000000" w:themeColor="text1"/>
          <w:lang w:eastAsia="en-US"/>
        </w:rPr>
      </w:pPr>
      <w:r w:rsidRPr="00541E47">
        <w:rPr>
          <w:color w:val="000000" w:themeColor="text1"/>
        </w:rPr>
        <w:t xml:space="preserve">Changes in the returns to factors have in turn effects on nominal income and consumer price. </w:t>
      </w:r>
      <w:r w:rsidR="00A57854" w:rsidRPr="00541E47">
        <w:rPr>
          <w:color w:val="000000" w:themeColor="text1"/>
          <w:lang w:eastAsia="en-US"/>
        </w:rPr>
        <w:t xml:space="preserve">Both the changes in </w:t>
      </w:r>
      <w:r w:rsidR="003D41DF" w:rsidRPr="00541E47">
        <w:rPr>
          <w:color w:val="000000" w:themeColor="text1"/>
          <w:lang w:eastAsia="en-US"/>
        </w:rPr>
        <w:t>household</w:t>
      </w:r>
      <w:r w:rsidR="00A57854" w:rsidRPr="00541E47">
        <w:rPr>
          <w:color w:val="000000" w:themeColor="text1"/>
          <w:lang w:eastAsia="en-US"/>
        </w:rPr>
        <w:t>’s</w:t>
      </w:r>
      <w:r w:rsidR="003D41DF" w:rsidRPr="00541E47">
        <w:rPr>
          <w:color w:val="000000" w:themeColor="text1"/>
          <w:lang w:eastAsia="en-US"/>
        </w:rPr>
        <w:t xml:space="preserve"> revenues </w:t>
      </w:r>
      <w:r w:rsidR="00A57854" w:rsidRPr="00541E47">
        <w:rPr>
          <w:color w:val="000000" w:themeColor="text1"/>
          <w:lang w:eastAsia="en-US"/>
        </w:rPr>
        <w:t>and consommer price are very low. Compare to the baseline, the nominal revenues increase very slightly in the biofuel simulation</w:t>
      </w:r>
      <w:r w:rsidR="00582312" w:rsidRPr="00541E47">
        <w:rPr>
          <w:color w:val="000000" w:themeColor="text1"/>
          <w:lang w:eastAsia="en-US"/>
        </w:rPr>
        <w:t xml:space="preserve">, with a higher effect at the end of the period. In contrast the price decreases in the whole period </w:t>
      </w:r>
      <w:r w:rsidR="00582312" w:rsidRPr="00541E47">
        <w:rPr>
          <w:color w:val="000000" w:themeColor="text1"/>
        </w:rPr>
        <w:t xml:space="preserve">and relatively more after the 13th year. </w:t>
      </w:r>
    </w:p>
    <w:p w:rsidR="00A57854" w:rsidRPr="00541E47" w:rsidRDefault="00A57854" w:rsidP="000115EF">
      <w:pPr>
        <w:jc w:val="both"/>
        <w:rPr>
          <w:b/>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C52CCA" w:rsidRDefault="00C52CCA" w:rsidP="000115EF">
      <w:pPr>
        <w:jc w:val="both"/>
        <w:rPr>
          <w:color w:val="000000" w:themeColor="text1"/>
          <w:sz w:val="20"/>
          <w:szCs w:val="20"/>
        </w:rPr>
      </w:pPr>
    </w:p>
    <w:p w:rsidR="003D41DF" w:rsidRPr="00541E47" w:rsidRDefault="00541E47" w:rsidP="000115EF">
      <w:pPr>
        <w:jc w:val="both"/>
        <w:rPr>
          <w:color w:val="000000" w:themeColor="text1"/>
          <w:sz w:val="20"/>
          <w:szCs w:val="20"/>
        </w:rPr>
      </w:pPr>
      <w:r w:rsidRPr="00541E47">
        <w:rPr>
          <w:color w:val="000000" w:themeColor="text1"/>
          <w:sz w:val="20"/>
          <w:szCs w:val="20"/>
        </w:rPr>
        <w:lastRenderedPageBreak/>
        <w:t>Graph 9</w:t>
      </w:r>
      <w:r w:rsidR="003D41DF" w:rsidRPr="00541E47">
        <w:rPr>
          <w:color w:val="000000" w:themeColor="text1"/>
          <w:sz w:val="20"/>
          <w:szCs w:val="20"/>
        </w:rPr>
        <w:t xml:space="preserve">: Senegal, household revenues </w:t>
      </w:r>
      <w:r w:rsidR="004A2261" w:rsidRPr="00541E47">
        <w:rPr>
          <w:color w:val="000000" w:themeColor="text1"/>
          <w:sz w:val="20"/>
          <w:szCs w:val="20"/>
        </w:rPr>
        <w:t xml:space="preserve">and prices </w:t>
      </w:r>
      <w:r w:rsidR="00BE36DB" w:rsidRPr="00541E47">
        <w:rPr>
          <w:color w:val="000000" w:themeColor="text1"/>
          <w:sz w:val="20"/>
          <w:szCs w:val="20"/>
        </w:rPr>
        <w:t xml:space="preserve">change w.r.t to </w:t>
      </w:r>
      <w:r w:rsidR="003D41DF" w:rsidRPr="00541E47">
        <w:rPr>
          <w:color w:val="000000" w:themeColor="text1"/>
          <w:sz w:val="20"/>
          <w:szCs w:val="20"/>
        </w:rPr>
        <w:t>the baseline s</w:t>
      </w:r>
      <w:r w:rsidR="004A2261" w:rsidRPr="00541E47">
        <w:rPr>
          <w:color w:val="000000" w:themeColor="text1"/>
          <w:sz w:val="20"/>
          <w:szCs w:val="20"/>
        </w:rPr>
        <w:t>cenario</w:t>
      </w:r>
      <w:r w:rsidR="003D41DF" w:rsidRPr="00541E47">
        <w:rPr>
          <w:color w:val="000000" w:themeColor="text1"/>
          <w:sz w:val="20"/>
          <w:szCs w:val="20"/>
        </w:rPr>
        <w:t xml:space="preserve"> </w:t>
      </w:r>
    </w:p>
    <w:p w:rsidR="00D54554" w:rsidRPr="00541E47" w:rsidRDefault="00F00875" w:rsidP="00F00875">
      <w:pPr>
        <w:jc w:val="both"/>
        <w:rPr>
          <w:color w:val="000000" w:themeColor="text1"/>
          <w:sz w:val="20"/>
          <w:szCs w:val="20"/>
        </w:rPr>
      </w:pPr>
      <w:r w:rsidRPr="00541E47">
        <w:rPr>
          <w:noProof/>
          <w:color w:val="000000" w:themeColor="text1"/>
          <w:sz w:val="20"/>
          <w:szCs w:val="20"/>
          <w:lang w:val="fr-FR" w:eastAsia="fr-FR"/>
        </w:rPr>
        <w:drawing>
          <wp:inline distT="0" distB="0" distL="0" distR="0">
            <wp:extent cx="5758549" cy="2349795"/>
            <wp:effectExtent l="19050" t="0" r="13601"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54554" w:rsidRPr="00541E47">
        <w:rPr>
          <w:iCs/>
          <w:color w:val="000000" w:themeColor="text1"/>
          <w:sz w:val="18"/>
          <w:szCs w:val="18"/>
        </w:rPr>
        <w:t xml:space="preserve">Source: </w:t>
      </w:r>
      <w:r w:rsidR="006A194B" w:rsidRPr="00541E47">
        <w:rPr>
          <w:iCs/>
          <w:color w:val="000000" w:themeColor="text1"/>
          <w:sz w:val="18"/>
          <w:szCs w:val="18"/>
        </w:rPr>
        <w:t>calculations of a</w:t>
      </w:r>
      <w:r w:rsidR="00D54554" w:rsidRPr="00541E47">
        <w:rPr>
          <w:iCs/>
          <w:color w:val="000000" w:themeColor="text1"/>
          <w:sz w:val="18"/>
          <w:szCs w:val="18"/>
        </w:rPr>
        <w:t xml:space="preserve">uthors </w:t>
      </w:r>
      <w:r w:rsidR="006A194B" w:rsidRPr="00541E47">
        <w:rPr>
          <w:iCs/>
          <w:color w:val="000000" w:themeColor="text1"/>
          <w:sz w:val="18"/>
          <w:szCs w:val="18"/>
        </w:rPr>
        <w:t xml:space="preserve">based on </w:t>
      </w:r>
      <w:r w:rsidR="00D54554" w:rsidRPr="00541E47">
        <w:rPr>
          <w:iCs/>
          <w:color w:val="000000" w:themeColor="text1"/>
          <w:sz w:val="18"/>
          <w:szCs w:val="18"/>
        </w:rPr>
        <w:t>simulation results.</w:t>
      </w:r>
    </w:p>
    <w:p w:rsidR="00A57854" w:rsidRPr="00541E47" w:rsidRDefault="00A57854" w:rsidP="000115EF">
      <w:pPr>
        <w:jc w:val="both"/>
        <w:rPr>
          <w:color w:val="000000" w:themeColor="text1"/>
        </w:rPr>
      </w:pPr>
    </w:p>
    <w:p w:rsidR="00582312" w:rsidRPr="00541E47" w:rsidRDefault="006956E7" w:rsidP="009068A4">
      <w:pPr>
        <w:autoSpaceDE w:val="0"/>
        <w:autoSpaceDN w:val="0"/>
        <w:adjustRightInd w:val="0"/>
        <w:jc w:val="both"/>
        <w:rPr>
          <w:color w:val="000000" w:themeColor="text1"/>
        </w:rPr>
      </w:pPr>
      <w:r w:rsidRPr="00541E47">
        <w:rPr>
          <w:color w:val="000000" w:themeColor="text1"/>
        </w:rPr>
        <w:t xml:space="preserve">The </w:t>
      </w:r>
      <w:r w:rsidR="006A6CD5" w:rsidRPr="00541E47">
        <w:rPr>
          <w:color w:val="000000" w:themeColor="text1"/>
        </w:rPr>
        <w:t xml:space="preserve">prices and </w:t>
      </w:r>
      <w:r w:rsidRPr="00541E47">
        <w:rPr>
          <w:color w:val="000000" w:themeColor="text1"/>
        </w:rPr>
        <w:t>r</w:t>
      </w:r>
      <w:r w:rsidR="00582312" w:rsidRPr="00541E47">
        <w:rPr>
          <w:color w:val="000000" w:themeColor="text1"/>
        </w:rPr>
        <w:t xml:space="preserve">evenues </w:t>
      </w:r>
      <w:r w:rsidR="006A6CD5" w:rsidRPr="00541E47">
        <w:rPr>
          <w:color w:val="000000" w:themeColor="text1"/>
        </w:rPr>
        <w:t xml:space="preserve">effects </w:t>
      </w:r>
      <w:r w:rsidR="00582312" w:rsidRPr="00541E47">
        <w:rPr>
          <w:color w:val="000000" w:themeColor="text1"/>
        </w:rPr>
        <w:t>are also reflected in p</w:t>
      </w:r>
      <w:r w:rsidRPr="00541E47">
        <w:rPr>
          <w:color w:val="000000" w:themeColor="text1"/>
        </w:rPr>
        <w:t xml:space="preserve">overty outcomes. </w:t>
      </w:r>
      <w:r w:rsidR="00D67DFE" w:rsidRPr="00541E47">
        <w:rPr>
          <w:color w:val="000000" w:themeColor="text1"/>
        </w:rPr>
        <w:t>I</w:t>
      </w:r>
      <w:r w:rsidRPr="00541E47">
        <w:rPr>
          <w:color w:val="000000" w:themeColor="text1"/>
        </w:rPr>
        <w:t>ncome</w:t>
      </w:r>
      <w:r w:rsidR="00582312" w:rsidRPr="00541E47">
        <w:rPr>
          <w:color w:val="000000" w:themeColor="text1"/>
        </w:rPr>
        <w:t xml:space="preserve"> and price effects</w:t>
      </w:r>
      <w:r w:rsidRPr="00541E47">
        <w:rPr>
          <w:color w:val="000000" w:themeColor="text1"/>
        </w:rPr>
        <w:t xml:space="preserve"> </w:t>
      </w:r>
      <w:r w:rsidR="00D67DFE" w:rsidRPr="00541E47">
        <w:rPr>
          <w:color w:val="000000" w:themeColor="text1"/>
        </w:rPr>
        <w:t xml:space="preserve">induce </w:t>
      </w:r>
      <w:r w:rsidR="009068A4" w:rsidRPr="00541E47">
        <w:rPr>
          <w:color w:val="000000" w:themeColor="text1"/>
        </w:rPr>
        <w:t xml:space="preserve">a constant trend of poverty during the first half of the the period but a </w:t>
      </w:r>
      <w:r w:rsidR="00D67DFE" w:rsidRPr="00541E47">
        <w:rPr>
          <w:color w:val="000000" w:themeColor="text1"/>
        </w:rPr>
        <w:t xml:space="preserve">declining </w:t>
      </w:r>
      <w:r w:rsidR="009068A4" w:rsidRPr="00541E47">
        <w:rPr>
          <w:color w:val="000000" w:themeColor="text1"/>
        </w:rPr>
        <w:t>one during the second half of the period</w:t>
      </w:r>
      <w:r w:rsidR="00582312" w:rsidRPr="00541E47">
        <w:rPr>
          <w:color w:val="000000" w:themeColor="text1"/>
        </w:rPr>
        <w:t>.</w:t>
      </w:r>
    </w:p>
    <w:p w:rsidR="00F00875" w:rsidRPr="00541E47" w:rsidRDefault="00F00875" w:rsidP="00A52BA7">
      <w:pPr>
        <w:jc w:val="both"/>
        <w:rPr>
          <w:color w:val="000000" w:themeColor="text1"/>
          <w:sz w:val="20"/>
          <w:szCs w:val="20"/>
          <w:lang w:val="en-US"/>
        </w:rPr>
      </w:pPr>
    </w:p>
    <w:p w:rsidR="00A52BA7" w:rsidRPr="00541E47" w:rsidRDefault="004A2261" w:rsidP="00A52BA7">
      <w:pPr>
        <w:jc w:val="both"/>
        <w:rPr>
          <w:color w:val="000000" w:themeColor="text1"/>
          <w:sz w:val="20"/>
          <w:szCs w:val="20"/>
        </w:rPr>
      </w:pPr>
      <w:r w:rsidRPr="00541E47">
        <w:rPr>
          <w:color w:val="000000" w:themeColor="text1"/>
          <w:sz w:val="20"/>
          <w:szCs w:val="20"/>
          <w:lang w:val="en-US"/>
        </w:rPr>
        <w:t xml:space="preserve">Graph </w:t>
      </w:r>
      <w:r w:rsidR="00541E47" w:rsidRPr="00541E47">
        <w:rPr>
          <w:color w:val="000000" w:themeColor="text1"/>
          <w:sz w:val="20"/>
          <w:szCs w:val="20"/>
          <w:lang w:val="en-US"/>
        </w:rPr>
        <w:t>10</w:t>
      </w:r>
      <w:r w:rsidRPr="00541E47">
        <w:rPr>
          <w:color w:val="000000" w:themeColor="text1"/>
          <w:sz w:val="20"/>
          <w:szCs w:val="20"/>
          <w:lang w:val="en-US"/>
        </w:rPr>
        <w:t xml:space="preserve">: </w:t>
      </w:r>
      <w:r w:rsidR="00BB7D54" w:rsidRPr="00541E47">
        <w:rPr>
          <w:color w:val="000000" w:themeColor="text1"/>
          <w:sz w:val="20"/>
          <w:szCs w:val="20"/>
          <w:lang w:val="en-US"/>
        </w:rPr>
        <w:t xml:space="preserve">changes in </w:t>
      </w:r>
      <w:r w:rsidRPr="00541E47">
        <w:rPr>
          <w:color w:val="000000" w:themeColor="text1"/>
          <w:sz w:val="20"/>
          <w:szCs w:val="20"/>
        </w:rPr>
        <w:t>p</w:t>
      </w:r>
      <w:r w:rsidRPr="00541E47">
        <w:rPr>
          <w:color w:val="000000" w:themeColor="text1"/>
          <w:sz w:val="20"/>
          <w:szCs w:val="20"/>
          <w:lang w:val="en-US"/>
        </w:rPr>
        <w:t xml:space="preserve">overty </w:t>
      </w:r>
      <w:r w:rsidR="00BB7D54" w:rsidRPr="00541E47">
        <w:rPr>
          <w:color w:val="000000" w:themeColor="text1"/>
          <w:sz w:val="20"/>
          <w:szCs w:val="20"/>
          <w:lang w:val="en-US"/>
        </w:rPr>
        <w:t>effects at the national level in % (</w:t>
      </w:r>
      <w:r w:rsidR="00BB7D54" w:rsidRPr="00541E47">
        <w:rPr>
          <w:color w:val="000000" w:themeColor="text1"/>
          <w:sz w:val="20"/>
          <w:szCs w:val="20"/>
        </w:rPr>
        <w:t>w.r.t to the baseline scenario)</w:t>
      </w:r>
    </w:p>
    <w:p w:rsidR="00623CC7" w:rsidRPr="00541E47" w:rsidRDefault="00623CC7" w:rsidP="00A52BA7">
      <w:pPr>
        <w:jc w:val="both"/>
        <w:rPr>
          <w:color w:val="000000" w:themeColor="text1"/>
          <w:sz w:val="20"/>
          <w:szCs w:val="20"/>
        </w:rPr>
      </w:pPr>
      <w:r w:rsidRPr="00541E47">
        <w:rPr>
          <w:noProof/>
          <w:color w:val="000000" w:themeColor="text1"/>
          <w:sz w:val="20"/>
          <w:szCs w:val="20"/>
          <w:lang w:val="fr-FR" w:eastAsia="fr-FR"/>
        </w:rPr>
        <w:drawing>
          <wp:inline distT="0" distB="0" distL="0" distR="0">
            <wp:extent cx="5844082" cy="2232837"/>
            <wp:effectExtent l="19050" t="0" r="2331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2880" w:rsidRPr="00541E47" w:rsidRDefault="007D2880" w:rsidP="007D2880">
      <w:pPr>
        <w:autoSpaceDE w:val="0"/>
        <w:autoSpaceDN w:val="0"/>
        <w:adjustRightInd w:val="0"/>
        <w:jc w:val="both"/>
        <w:rPr>
          <w:iCs/>
          <w:color w:val="000000" w:themeColor="text1"/>
          <w:sz w:val="18"/>
          <w:szCs w:val="18"/>
        </w:rPr>
      </w:pPr>
      <w:r w:rsidRPr="00541E47">
        <w:rPr>
          <w:iCs/>
          <w:color w:val="000000" w:themeColor="text1"/>
          <w:sz w:val="18"/>
          <w:szCs w:val="18"/>
        </w:rPr>
        <w:t>Source: calculations of authors based on simulation results.</w:t>
      </w:r>
    </w:p>
    <w:p w:rsidR="00A52BA7" w:rsidRPr="00541E47" w:rsidRDefault="00A52BA7" w:rsidP="000115EF">
      <w:pPr>
        <w:jc w:val="both"/>
        <w:rPr>
          <w:color w:val="000000" w:themeColor="text1"/>
        </w:rPr>
      </w:pPr>
    </w:p>
    <w:p w:rsidR="00554022" w:rsidRPr="00541E47" w:rsidRDefault="00623CC7" w:rsidP="000115EF">
      <w:pPr>
        <w:jc w:val="both"/>
        <w:rPr>
          <w:color w:val="000000" w:themeColor="text1"/>
        </w:rPr>
      </w:pPr>
      <w:r w:rsidRPr="00541E47">
        <w:rPr>
          <w:color w:val="000000" w:themeColor="text1"/>
        </w:rPr>
        <w:t>The trend of poverty is quite constant during the first half of the period but it d</w:t>
      </w:r>
      <w:r w:rsidR="00D67DFE" w:rsidRPr="00541E47">
        <w:rPr>
          <w:color w:val="000000" w:themeColor="text1"/>
        </w:rPr>
        <w:t>ecline</w:t>
      </w:r>
      <w:r w:rsidRPr="00541E47">
        <w:rPr>
          <w:color w:val="000000" w:themeColor="text1"/>
        </w:rPr>
        <w:t>s</w:t>
      </w:r>
      <w:r w:rsidR="00D67DFE" w:rsidRPr="00541E47">
        <w:rPr>
          <w:color w:val="000000" w:themeColor="text1"/>
        </w:rPr>
        <w:t xml:space="preserve"> </w:t>
      </w:r>
      <w:r w:rsidRPr="00541E47">
        <w:rPr>
          <w:color w:val="000000" w:themeColor="text1"/>
        </w:rPr>
        <w:t xml:space="preserve">during the second part of the period. Decline </w:t>
      </w:r>
      <w:r w:rsidR="00D67DFE" w:rsidRPr="00541E47">
        <w:rPr>
          <w:color w:val="000000" w:themeColor="text1"/>
        </w:rPr>
        <w:t xml:space="preserve">in </w:t>
      </w:r>
      <w:r w:rsidR="006956E7" w:rsidRPr="00541E47">
        <w:rPr>
          <w:color w:val="000000" w:themeColor="text1"/>
        </w:rPr>
        <w:t xml:space="preserve">poverty </w:t>
      </w:r>
      <w:r w:rsidR="00D67DFE" w:rsidRPr="00541E47">
        <w:rPr>
          <w:color w:val="000000" w:themeColor="text1"/>
        </w:rPr>
        <w:t xml:space="preserve">headcount is </w:t>
      </w:r>
      <w:r w:rsidR="006956E7" w:rsidRPr="00541E47">
        <w:rPr>
          <w:color w:val="000000" w:themeColor="text1"/>
        </w:rPr>
        <w:t>hi</w:t>
      </w:r>
      <w:r w:rsidR="006A6CD5" w:rsidRPr="00541E47">
        <w:rPr>
          <w:color w:val="000000" w:themeColor="text1"/>
        </w:rPr>
        <w:t>g</w:t>
      </w:r>
      <w:r w:rsidR="006956E7" w:rsidRPr="00541E47">
        <w:rPr>
          <w:color w:val="000000" w:themeColor="text1"/>
        </w:rPr>
        <w:t xml:space="preserve">her in </w:t>
      </w:r>
      <w:r w:rsidR="00554022" w:rsidRPr="00541E47">
        <w:rPr>
          <w:color w:val="000000" w:themeColor="text1"/>
        </w:rPr>
        <w:t xml:space="preserve">Dakar </w:t>
      </w:r>
      <w:r w:rsidR="006956E7" w:rsidRPr="00541E47">
        <w:rPr>
          <w:color w:val="000000" w:themeColor="text1"/>
        </w:rPr>
        <w:t>than the oth</w:t>
      </w:r>
      <w:r w:rsidR="00A65EDB" w:rsidRPr="00541E47">
        <w:rPr>
          <w:color w:val="000000" w:themeColor="text1"/>
        </w:rPr>
        <w:t>e</w:t>
      </w:r>
      <w:r w:rsidR="006956E7" w:rsidRPr="00541E47">
        <w:rPr>
          <w:color w:val="000000" w:themeColor="text1"/>
        </w:rPr>
        <w:t>r cities and rural areas</w:t>
      </w:r>
      <w:r w:rsidR="00D707C3" w:rsidRPr="00541E47">
        <w:rPr>
          <w:color w:val="000000" w:themeColor="text1"/>
        </w:rPr>
        <w:t xml:space="preserve">. </w:t>
      </w:r>
    </w:p>
    <w:p w:rsidR="00541A0D" w:rsidRPr="00541E47" w:rsidRDefault="00541A0D"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E96B10" w:rsidRPr="00541E47" w:rsidRDefault="00E96B10"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C52CCA" w:rsidRDefault="00C52CCA" w:rsidP="006956E7">
      <w:pPr>
        <w:jc w:val="both"/>
        <w:rPr>
          <w:color w:val="000000" w:themeColor="text1"/>
          <w:sz w:val="20"/>
          <w:szCs w:val="20"/>
          <w:lang w:val="en-US"/>
        </w:rPr>
      </w:pPr>
    </w:p>
    <w:p w:rsidR="006956E7" w:rsidRPr="00541E47" w:rsidRDefault="006956E7" w:rsidP="006956E7">
      <w:pPr>
        <w:jc w:val="both"/>
        <w:rPr>
          <w:color w:val="000000" w:themeColor="text1"/>
          <w:sz w:val="20"/>
          <w:szCs w:val="20"/>
        </w:rPr>
      </w:pPr>
      <w:r w:rsidRPr="00541E47">
        <w:rPr>
          <w:color w:val="000000" w:themeColor="text1"/>
          <w:sz w:val="20"/>
          <w:szCs w:val="20"/>
          <w:lang w:val="en-US"/>
        </w:rPr>
        <w:lastRenderedPageBreak/>
        <w:t>Graph 1</w:t>
      </w:r>
      <w:r w:rsidR="00541E47" w:rsidRPr="00541E47">
        <w:rPr>
          <w:color w:val="000000" w:themeColor="text1"/>
          <w:sz w:val="20"/>
          <w:szCs w:val="20"/>
          <w:lang w:val="en-US"/>
        </w:rPr>
        <w:t>1</w:t>
      </w:r>
      <w:r w:rsidRPr="00541E47">
        <w:rPr>
          <w:color w:val="000000" w:themeColor="text1"/>
          <w:sz w:val="20"/>
          <w:szCs w:val="20"/>
          <w:lang w:val="en-US"/>
        </w:rPr>
        <w:t xml:space="preserve">: </w:t>
      </w:r>
      <w:r w:rsidR="00BB7D54" w:rsidRPr="00541E47">
        <w:rPr>
          <w:color w:val="000000" w:themeColor="text1"/>
          <w:sz w:val="20"/>
          <w:szCs w:val="20"/>
          <w:lang w:val="en-US"/>
        </w:rPr>
        <w:t>Changes in poverty effects in main areas in % (</w:t>
      </w:r>
      <w:r w:rsidR="00BB7D54" w:rsidRPr="00541E47">
        <w:rPr>
          <w:color w:val="000000" w:themeColor="text1"/>
          <w:sz w:val="20"/>
          <w:szCs w:val="20"/>
        </w:rPr>
        <w:t>w.r.t to the baseline scenario)</w:t>
      </w:r>
    </w:p>
    <w:p w:rsidR="00623CC7" w:rsidRPr="00541E47" w:rsidRDefault="00623CC7" w:rsidP="006956E7">
      <w:pPr>
        <w:jc w:val="both"/>
        <w:rPr>
          <w:color w:val="000000" w:themeColor="text1"/>
          <w:sz w:val="20"/>
          <w:szCs w:val="20"/>
        </w:rPr>
      </w:pPr>
      <w:r w:rsidRPr="00541E47">
        <w:rPr>
          <w:noProof/>
          <w:color w:val="000000" w:themeColor="text1"/>
          <w:sz w:val="20"/>
          <w:szCs w:val="20"/>
          <w:lang w:val="fr-FR" w:eastAsia="fr-FR"/>
        </w:rPr>
        <w:drawing>
          <wp:inline distT="0" distB="0" distL="0" distR="0">
            <wp:extent cx="6020243" cy="2260925"/>
            <wp:effectExtent l="19050" t="0" r="18607" b="60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2880" w:rsidRPr="00541E47" w:rsidRDefault="007D2880" w:rsidP="007D2880">
      <w:pPr>
        <w:autoSpaceDE w:val="0"/>
        <w:autoSpaceDN w:val="0"/>
        <w:adjustRightInd w:val="0"/>
        <w:jc w:val="both"/>
        <w:rPr>
          <w:iCs/>
          <w:color w:val="000000" w:themeColor="text1"/>
          <w:sz w:val="18"/>
          <w:szCs w:val="18"/>
        </w:rPr>
      </w:pPr>
      <w:r w:rsidRPr="00541E47">
        <w:rPr>
          <w:iCs/>
          <w:color w:val="000000" w:themeColor="text1"/>
          <w:sz w:val="18"/>
          <w:szCs w:val="18"/>
        </w:rPr>
        <w:t>Source: calculations of authors based on simulation results.</w:t>
      </w:r>
    </w:p>
    <w:p w:rsidR="006956E7" w:rsidRPr="00541E47" w:rsidRDefault="006956E7" w:rsidP="006956E7">
      <w:pPr>
        <w:jc w:val="both"/>
        <w:rPr>
          <w:color w:val="000000" w:themeColor="text1"/>
          <w:sz w:val="20"/>
          <w:szCs w:val="20"/>
        </w:rPr>
      </w:pPr>
    </w:p>
    <w:p w:rsidR="007107DE" w:rsidRPr="00541E47" w:rsidRDefault="00AB4D3A" w:rsidP="000115EF">
      <w:pPr>
        <w:jc w:val="both"/>
        <w:rPr>
          <w:color w:val="000000" w:themeColor="text1"/>
          <w:sz w:val="20"/>
          <w:szCs w:val="20"/>
          <w:lang w:val="en-US"/>
        </w:rPr>
      </w:pPr>
      <w:r w:rsidRPr="00541E47">
        <w:rPr>
          <w:color w:val="000000" w:themeColor="text1"/>
        </w:rPr>
        <w:t xml:space="preserve">Within the rural area, the poverty effets </w:t>
      </w:r>
      <w:r w:rsidR="00D67DFE" w:rsidRPr="00541E47">
        <w:rPr>
          <w:color w:val="000000" w:themeColor="text1"/>
        </w:rPr>
        <w:t>differ from one group to another depending on periods.</w:t>
      </w:r>
      <w:r w:rsidR="00BD6DCC" w:rsidRPr="00541E47">
        <w:rPr>
          <w:color w:val="000000" w:themeColor="text1"/>
        </w:rPr>
        <w:t xml:space="preserve"> </w:t>
      </w:r>
      <w:r w:rsidR="009068A4" w:rsidRPr="00541E47">
        <w:rPr>
          <w:color w:val="000000" w:themeColor="text1"/>
        </w:rPr>
        <w:t>H</w:t>
      </w:r>
      <w:r w:rsidRPr="00541E47">
        <w:rPr>
          <w:color w:val="000000" w:themeColor="text1"/>
        </w:rPr>
        <w:t xml:space="preserve">ouseholds </w:t>
      </w:r>
      <w:r w:rsidR="00D67DFE" w:rsidRPr="00541E47">
        <w:rPr>
          <w:color w:val="000000" w:themeColor="text1"/>
        </w:rPr>
        <w:t xml:space="preserve">from </w:t>
      </w:r>
      <w:r w:rsidR="00F00875" w:rsidRPr="00541E47">
        <w:rPr>
          <w:color w:val="000000" w:themeColor="text1"/>
        </w:rPr>
        <w:t xml:space="preserve">southern Senegal (casamance), </w:t>
      </w:r>
      <w:r w:rsidR="00D67DFE" w:rsidRPr="00541E47">
        <w:rPr>
          <w:color w:val="000000" w:themeColor="text1"/>
        </w:rPr>
        <w:t>eastern Senegal and Groundnut b</w:t>
      </w:r>
      <w:r w:rsidR="00F00875" w:rsidRPr="00541E47">
        <w:rPr>
          <w:color w:val="000000" w:themeColor="text1"/>
        </w:rPr>
        <w:t>elt</w:t>
      </w:r>
      <w:r w:rsidR="00D67DFE" w:rsidRPr="00541E47">
        <w:rPr>
          <w:color w:val="000000" w:themeColor="text1"/>
        </w:rPr>
        <w:t xml:space="preserve"> are those who experienced the</w:t>
      </w:r>
      <w:r w:rsidR="00F00875" w:rsidRPr="00541E47">
        <w:rPr>
          <w:color w:val="000000" w:themeColor="text1"/>
        </w:rPr>
        <w:t xml:space="preserve"> deepest fluctuations. Increases </w:t>
      </w:r>
      <w:r w:rsidR="00BD6DCC" w:rsidRPr="00541E47">
        <w:rPr>
          <w:color w:val="000000" w:themeColor="text1"/>
        </w:rPr>
        <w:t xml:space="preserve">in poverty level </w:t>
      </w:r>
      <w:r w:rsidR="00F00875" w:rsidRPr="00541E47">
        <w:rPr>
          <w:color w:val="000000" w:themeColor="text1"/>
        </w:rPr>
        <w:t xml:space="preserve">are </w:t>
      </w:r>
      <w:r w:rsidR="00D67DFE" w:rsidRPr="00541E47">
        <w:rPr>
          <w:color w:val="000000" w:themeColor="text1"/>
        </w:rPr>
        <w:t xml:space="preserve">more </w:t>
      </w:r>
      <w:r w:rsidR="00F00875" w:rsidRPr="00541E47">
        <w:rPr>
          <w:color w:val="000000" w:themeColor="text1"/>
        </w:rPr>
        <w:t xml:space="preserve">important for those groups during the first period while </w:t>
      </w:r>
      <w:r w:rsidRPr="00541E47">
        <w:rPr>
          <w:color w:val="000000" w:themeColor="text1"/>
        </w:rPr>
        <w:t>drops in poverty headcount</w:t>
      </w:r>
      <w:r w:rsidR="00F00875" w:rsidRPr="00541E47">
        <w:rPr>
          <w:color w:val="000000" w:themeColor="text1"/>
        </w:rPr>
        <w:t xml:space="preserve"> are more significant </w:t>
      </w:r>
      <w:r w:rsidR="00BD6DCC" w:rsidRPr="00541E47">
        <w:rPr>
          <w:color w:val="000000" w:themeColor="text1"/>
        </w:rPr>
        <w:t xml:space="preserve">for those categories </w:t>
      </w:r>
      <w:r w:rsidR="00F00875" w:rsidRPr="00541E47">
        <w:rPr>
          <w:color w:val="000000" w:themeColor="text1"/>
        </w:rPr>
        <w:t xml:space="preserve">during the second half of the period. </w:t>
      </w:r>
      <w:r w:rsidR="00D67DFE" w:rsidRPr="00541E47">
        <w:rPr>
          <w:color w:val="000000" w:themeColor="text1"/>
        </w:rPr>
        <w:t xml:space="preserve"> </w:t>
      </w:r>
    </w:p>
    <w:p w:rsidR="007107DE" w:rsidRPr="00541E47" w:rsidRDefault="007107DE" w:rsidP="000115EF">
      <w:pPr>
        <w:jc w:val="both"/>
        <w:rPr>
          <w:color w:val="000000" w:themeColor="text1"/>
          <w:sz w:val="20"/>
          <w:szCs w:val="20"/>
          <w:lang w:val="en-US"/>
        </w:rPr>
      </w:pPr>
    </w:p>
    <w:p w:rsidR="007107DE" w:rsidRPr="00541E47" w:rsidRDefault="00A50D3E" w:rsidP="007107DE">
      <w:pPr>
        <w:jc w:val="both"/>
        <w:rPr>
          <w:color w:val="000000" w:themeColor="text1"/>
          <w:sz w:val="20"/>
          <w:szCs w:val="20"/>
        </w:rPr>
      </w:pPr>
      <w:r w:rsidRPr="00541E47">
        <w:rPr>
          <w:color w:val="000000" w:themeColor="text1"/>
          <w:sz w:val="20"/>
          <w:szCs w:val="20"/>
          <w:lang w:val="en-US"/>
        </w:rPr>
        <w:t xml:space="preserve">Graph </w:t>
      </w:r>
      <w:r w:rsidR="00541E47" w:rsidRPr="00541E47">
        <w:rPr>
          <w:color w:val="000000" w:themeColor="text1"/>
          <w:sz w:val="20"/>
          <w:szCs w:val="20"/>
          <w:lang w:val="en-US"/>
        </w:rPr>
        <w:t>12</w:t>
      </w:r>
      <w:r w:rsidR="007107DE" w:rsidRPr="00541E47">
        <w:rPr>
          <w:color w:val="000000" w:themeColor="text1"/>
          <w:sz w:val="20"/>
          <w:szCs w:val="20"/>
          <w:lang w:val="en-US"/>
        </w:rPr>
        <w:t xml:space="preserve">:  </w:t>
      </w:r>
      <w:r w:rsidR="00BB7D54" w:rsidRPr="00541E47">
        <w:rPr>
          <w:color w:val="000000" w:themeColor="text1"/>
          <w:sz w:val="20"/>
          <w:szCs w:val="20"/>
          <w:lang w:val="en-US"/>
        </w:rPr>
        <w:t xml:space="preserve">Changes in </w:t>
      </w:r>
      <w:r w:rsidR="007107DE" w:rsidRPr="00541E47">
        <w:rPr>
          <w:color w:val="000000" w:themeColor="text1"/>
          <w:sz w:val="20"/>
          <w:szCs w:val="20"/>
          <w:lang w:val="en-US"/>
        </w:rPr>
        <w:t xml:space="preserve">poverty </w:t>
      </w:r>
      <w:r w:rsidR="00BB7D54" w:rsidRPr="00541E47">
        <w:rPr>
          <w:color w:val="000000" w:themeColor="text1"/>
          <w:sz w:val="20"/>
          <w:szCs w:val="20"/>
          <w:lang w:val="en-US"/>
        </w:rPr>
        <w:t>effects in rural areas in % (</w:t>
      </w:r>
      <w:r w:rsidR="007107DE" w:rsidRPr="00541E47">
        <w:rPr>
          <w:color w:val="000000" w:themeColor="text1"/>
          <w:sz w:val="20"/>
          <w:szCs w:val="20"/>
        </w:rPr>
        <w:t>w.r.t to the baseline scenario</w:t>
      </w:r>
      <w:r w:rsidR="00BB7D54" w:rsidRPr="00541E47">
        <w:rPr>
          <w:color w:val="000000" w:themeColor="text1"/>
          <w:sz w:val="20"/>
          <w:szCs w:val="20"/>
        </w:rPr>
        <w:t>)</w:t>
      </w:r>
    </w:p>
    <w:p w:rsidR="00623CC7" w:rsidRPr="00541E47" w:rsidRDefault="00623CC7" w:rsidP="007107DE">
      <w:pPr>
        <w:jc w:val="both"/>
        <w:rPr>
          <w:color w:val="000000" w:themeColor="text1"/>
          <w:sz w:val="20"/>
          <w:szCs w:val="20"/>
        </w:rPr>
      </w:pPr>
      <w:r w:rsidRPr="00541E47">
        <w:rPr>
          <w:noProof/>
          <w:color w:val="000000" w:themeColor="text1"/>
          <w:sz w:val="20"/>
          <w:szCs w:val="20"/>
          <w:lang w:val="fr-FR" w:eastAsia="fr-FR"/>
        </w:rPr>
        <w:drawing>
          <wp:inline distT="0" distB="0" distL="0" distR="0">
            <wp:extent cx="49911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2880" w:rsidRPr="00541E47" w:rsidRDefault="007D2880" w:rsidP="007D2880">
      <w:pPr>
        <w:autoSpaceDE w:val="0"/>
        <w:autoSpaceDN w:val="0"/>
        <w:adjustRightInd w:val="0"/>
        <w:jc w:val="both"/>
        <w:rPr>
          <w:iCs/>
          <w:color w:val="000000" w:themeColor="text1"/>
          <w:sz w:val="18"/>
          <w:szCs w:val="18"/>
        </w:rPr>
      </w:pPr>
      <w:r w:rsidRPr="00541E47">
        <w:rPr>
          <w:iCs/>
          <w:color w:val="000000" w:themeColor="text1"/>
          <w:sz w:val="18"/>
          <w:szCs w:val="18"/>
        </w:rPr>
        <w:t>Source: calculations of authors based on simulation results.</w:t>
      </w:r>
    </w:p>
    <w:p w:rsidR="005B156B" w:rsidRPr="00541E47" w:rsidRDefault="005B156B" w:rsidP="000115EF">
      <w:pPr>
        <w:jc w:val="both"/>
        <w:rPr>
          <w:color w:val="000000" w:themeColor="text1"/>
          <w:sz w:val="20"/>
          <w:szCs w:val="20"/>
        </w:rPr>
      </w:pPr>
    </w:p>
    <w:p w:rsidR="00C52CCA" w:rsidRDefault="00C52CCA">
      <w:pPr>
        <w:rPr>
          <w:b/>
          <w:color w:val="000000" w:themeColor="text1"/>
        </w:rPr>
      </w:pPr>
      <w:r>
        <w:rPr>
          <w:b/>
          <w:color w:val="000000" w:themeColor="text1"/>
        </w:rPr>
        <w:br w:type="page"/>
      </w:r>
    </w:p>
    <w:p w:rsidR="00502DFC" w:rsidRPr="00541E47" w:rsidRDefault="00502DFC" w:rsidP="000115EF">
      <w:pPr>
        <w:jc w:val="both"/>
        <w:rPr>
          <w:b/>
          <w:color w:val="000000" w:themeColor="text1"/>
        </w:rPr>
      </w:pPr>
      <w:r w:rsidRPr="00541E47">
        <w:rPr>
          <w:b/>
          <w:color w:val="000000" w:themeColor="text1"/>
        </w:rPr>
        <w:lastRenderedPageBreak/>
        <w:t xml:space="preserve">Conlusions </w:t>
      </w:r>
    </w:p>
    <w:p w:rsidR="00BD6DCC" w:rsidRPr="00541E47" w:rsidRDefault="00502DFC" w:rsidP="000115EF">
      <w:pPr>
        <w:jc w:val="both"/>
        <w:rPr>
          <w:color w:val="000000" w:themeColor="text1"/>
        </w:rPr>
      </w:pPr>
      <w:r w:rsidRPr="00541E47">
        <w:rPr>
          <w:color w:val="000000" w:themeColor="text1"/>
        </w:rPr>
        <w:t xml:space="preserve">In this paper, </w:t>
      </w:r>
      <w:r w:rsidR="001E3699" w:rsidRPr="00541E47">
        <w:rPr>
          <w:color w:val="000000" w:themeColor="text1"/>
          <w:lang w:val="en-US"/>
        </w:rPr>
        <w:t xml:space="preserve">we first build a </w:t>
      </w:r>
      <w:r w:rsidR="00266227" w:rsidRPr="00541E47">
        <w:rPr>
          <w:color w:val="000000" w:themeColor="text1"/>
          <w:lang w:val="en-US"/>
        </w:rPr>
        <w:t xml:space="preserve">dynamic, </w:t>
      </w:r>
      <w:r w:rsidR="001E3699" w:rsidRPr="00541E47">
        <w:rPr>
          <w:color w:val="000000" w:themeColor="text1"/>
          <w:lang w:val="en-US"/>
        </w:rPr>
        <w:t>general</w:t>
      </w:r>
      <w:r w:rsidR="00266227" w:rsidRPr="00541E47">
        <w:rPr>
          <w:color w:val="000000" w:themeColor="text1"/>
          <w:lang w:val="en-US"/>
        </w:rPr>
        <w:t>-</w:t>
      </w:r>
      <w:r w:rsidR="001E3699" w:rsidRPr="00541E47">
        <w:rPr>
          <w:color w:val="000000" w:themeColor="text1"/>
          <w:lang w:val="en-US"/>
        </w:rPr>
        <w:t xml:space="preserve">equilibrium model to address </w:t>
      </w:r>
      <w:r w:rsidR="00266227" w:rsidRPr="00541E47">
        <w:rPr>
          <w:color w:val="000000" w:themeColor="text1"/>
          <w:lang w:val="en-US"/>
        </w:rPr>
        <w:t xml:space="preserve">the impact of </w:t>
      </w:r>
      <w:r w:rsidR="00E96B10" w:rsidRPr="00541E47">
        <w:rPr>
          <w:color w:val="000000" w:themeColor="text1"/>
          <w:lang w:val="en-US"/>
        </w:rPr>
        <w:t xml:space="preserve">boom of </w:t>
      </w:r>
      <w:r w:rsidR="001E3699" w:rsidRPr="00541E47">
        <w:rPr>
          <w:color w:val="000000" w:themeColor="text1"/>
          <w:lang w:val="en-US"/>
        </w:rPr>
        <w:t xml:space="preserve">biofuel </w:t>
      </w:r>
      <w:r w:rsidR="00E96B10" w:rsidRPr="00541E47">
        <w:rPr>
          <w:color w:val="000000" w:themeColor="text1"/>
          <w:lang w:val="en-US"/>
        </w:rPr>
        <w:t xml:space="preserve">in the world market on </w:t>
      </w:r>
      <w:r w:rsidR="00266227" w:rsidRPr="00541E47">
        <w:rPr>
          <w:color w:val="000000" w:themeColor="text1"/>
          <w:lang w:val="en-US"/>
        </w:rPr>
        <w:t xml:space="preserve">growth </w:t>
      </w:r>
      <w:r w:rsidR="00E96B10" w:rsidRPr="00541E47">
        <w:rPr>
          <w:color w:val="000000" w:themeColor="text1"/>
          <w:lang w:val="en-US"/>
        </w:rPr>
        <w:t xml:space="preserve">and poverty pattern </w:t>
      </w:r>
      <w:r w:rsidR="001E3699" w:rsidRPr="00541E47">
        <w:rPr>
          <w:color w:val="000000" w:themeColor="text1"/>
          <w:lang w:val="en-US"/>
        </w:rPr>
        <w:t>in Senegal. We then run</w:t>
      </w:r>
      <w:r w:rsidR="00E96B10" w:rsidRPr="00541E47">
        <w:rPr>
          <w:color w:val="000000" w:themeColor="text1"/>
          <w:lang w:val="en-US"/>
        </w:rPr>
        <w:t xml:space="preserve"> a simuation</w:t>
      </w:r>
      <w:r w:rsidR="001E3699" w:rsidRPr="00541E47">
        <w:rPr>
          <w:color w:val="000000" w:themeColor="text1"/>
          <w:lang w:val="en-US"/>
        </w:rPr>
        <w:t xml:space="preserve"> based on results </w:t>
      </w:r>
      <w:r w:rsidR="00266227" w:rsidRPr="00541E47">
        <w:rPr>
          <w:color w:val="000000" w:themeColor="text1"/>
          <w:lang w:val="en-US"/>
        </w:rPr>
        <w:t xml:space="preserve">that are generated </w:t>
      </w:r>
      <w:r w:rsidR="001E3699" w:rsidRPr="00541E47">
        <w:rPr>
          <w:color w:val="000000" w:themeColor="text1"/>
          <w:lang w:val="en-US"/>
        </w:rPr>
        <w:t xml:space="preserve">by a </w:t>
      </w:r>
      <w:r w:rsidR="00266227" w:rsidRPr="00541E47">
        <w:rPr>
          <w:color w:val="000000" w:themeColor="text1"/>
          <w:lang w:val="en-US"/>
        </w:rPr>
        <w:t xml:space="preserve">global </w:t>
      </w:r>
      <w:r w:rsidR="00E96B10" w:rsidRPr="00541E47">
        <w:rPr>
          <w:color w:val="000000" w:themeColor="text1"/>
          <w:lang w:val="en-US"/>
        </w:rPr>
        <w:t xml:space="preserve">GTAP </w:t>
      </w:r>
      <w:r w:rsidR="00266227" w:rsidRPr="00541E47">
        <w:rPr>
          <w:color w:val="000000" w:themeColor="text1"/>
          <w:lang w:val="en-US"/>
        </w:rPr>
        <w:t xml:space="preserve">CGE </w:t>
      </w:r>
      <w:r w:rsidR="001E3699" w:rsidRPr="00541E47">
        <w:rPr>
          <w:color w:val="000000" w:themeColor="text1"/>
          <w:lang w:val="en-US"/>
        </w:rPr>
        <w:t>model</w:t>
      </w:r>
      <w:r w:rsidR="00E96B10" w:rsidRPr="00541E47">
        <w:rPr>
          <w:color w:val="000000" w:themeColor="text1"/>
          <w:lang w:val="en-US"/>
        </w:rPr>
        <w:t xml:space="preserve">. </w:t>
      </w:r>
      <w:r w:rsidRPr="00541E47">
        <w:rPr>
          <w:color w:val="000000" w:themeColor="text1"/>
        </w:rPr>
        <w:t>Th</w:t>
      </w:r>
      <w:r w:rsidR="001E3699" w:rsidRPr="00541E47">
        <w:rPr>
          <w:color w:val="000000" w:themeColor="text1"/>
        </w:rPr>
        <w:t>e simulation capture</w:t>
      </w:r>
      <w:r w:rsidR="006A6CD5" w:rsidRPr="00541E47">
        <w:rPr>
          <w:color w:val="000000" w:themeColor="text1"/>
        </w:rPr>
        <w:t>s</w:t>
      </w:r>
      <w:r w:rsidR="001E3699" w:rsidRPr="00541E47">
        <w:rPr>
          <w:color w:val="000000" w:themeColor="text1"/>
        </w:rPr>
        <w:t xml:space="preserve"> the effects of </w:t>
      </w:r>
      <w:r w:rsidRPr="00541E47">
        <w:rPr>
          <w:color w:val="000000" w:themeColor="text1"/>
        </w:rPr>
        <w:t xml:space="preserve">world </w:t>
      </w:r>
      <w:r w:rsidR="00E96B10" w:rsidRPr="00541E47">
        <w:rPr>
          <w:color w:val="000000" w:themeColor="text1"/>
        </w:rPr>
        <w:t xml:space="preserve">market </w:t>
      </w:r>
      <w:r w:rsidRPr="00541E47">
        <w:rPr>
          <w:color w:val="000000" w:themeColor="text1"/>
        </w:rPr>
        <w:t xml:space="preserve">prices </w:t>
      </w:r>
      <w:r w:rsidR="0081341B" w:rsidRPr="00541E47">
        <w:rPr>
          <w:color w:val="000000" w:themeColor="text1"/>
        </w:rPr>
        <w:t xml:space="preserve">changes </w:t>
      </w:r>
      <w:r w:rsidR="00266227" w:rsidRPr="00541E47">
        <w:rPr>
          <w:color w:val="000000" w:themeColor="text1"/>
        </w:rPr>
        <w:t>with</w:t>
      </w:r>
      <w:r w:rsidRPr="00541E47">
        <w:rPr>
          <w:color w:val="000000" w:themeColor="text1"/>
        </w:rPr>
        <w:t xml:space="preserve">in the context of Senegalese economy. </w:t>
      </w:r>
    </w:p>
    <w:p w:rsidR="00BD6DCC" w:rsidRPr="00541E47" w:rsidRDefault="00BD6DCC" w:rsidP="00BD6DCC">
      <w:pPr>
        <w:jc w:val="both"/>
        <w:rPr>
          <w:color w:val="000000" w:themeColor="text1"/>
          <w:lang w:eastAsia="en-US"/>
        </w:rPr>
      </w:pPr>
      <w:r w:rsidRPr="00541E47">
        <w:rPr>
          <w:color w:val="000000" w:themeColor="text1"/>
          <w:lang w:eastAsia="en-US"/>
        </w:rPr>
        <w:t xml:space="preserve">Under assumed biofuel boom in the world market, oil import prices decrease slightly. Import prices decrease also for coal, other primary industries, gas, fertilizer and pesticide, products from energy intensive industries, tradable services. For all other products, import prices increase. Therefore, except for crude oil, tradable services and non food industries, imports decrease. Due to significant share of import products that underwent an increase, the total imports increase. Exports increase for most of the products and induce a rise in the total exports. Valued-added of biodiesel and bioethanol decreases while it increases for most the sectors, in particular those which are more energy intensive. Those changes explain the one observed for returns to factors and also for households income and consumption prices and hence poverty. </w:t>
      </w:r>
    </w:p>
    <w:p w:rsidR="00BD6DCC" w:rsidRPr="00541E47" w:rsidRDefault="00BD6DCC" w:rsidP="00BD6DCC">
      <w:pPr>
        <w:jc w:val="both"/>
        <w:rPr>
          <w:color w:val="000000" w:themeColor="text1"/>
          <w:lang w:eastAsia="en-US"/>
        </w:rPr>
      </w:pPr>
      <w:r w:rsidRPr="00541E47">
        <w:rPr>
          <w:color w:val="000000" w:themeColor="text1"/>
          <w:lang w:eastAsia="en-US"/>
        </w:rPr>
        <w:t xml:space="preserve">The trend of poverty is quite constant during the first half of the period but it declines during the second part of the period. The households of Dakar experienced a more deep decrease in poverty headcount than the one of other cities and rural areas. Households from southern Senegal (casamance), eastern Senegal and Groundnut belt are those who experienced the deepest fluctuations. Therefore increases in poverty are more important for those groups of household during the first period while drops in poverty observed during the second half of the period headcount are more significant for those categories.    </w:t>
      </w:r>
    </w:p>
    <w:p w:rsidR="006F0D1E" w:rsidRPr="00541E47" w:rsidRDefault="006F0D1E" w:rsidP="000115EF">
      <w:pPr>
        <w:jc w:val="both"/>
        <w:rPr>
          <w:color w:val="000000" w:themeColor="text1"/>
        </w:rPr>
      </w:pPr>
    </w:p>
    <w:p w:rsidR="00B64AE6" w:rsidRPr="00541E47" w:rsidRDefault="006A3EE0" w:rsidP="000115EF">
      <w:pPr>
        <w:jc w:val="both"/>
        <w:rPr>
          <w:b/>
          <w:color w:val="000000" w:themeColor="text1"/>
        </w:rPr>
      </w:pPr>
      <w:r w:rsidRPr="00541E47">
        <w:rPr>
          <w:color w:val="000000" w:themeColor="text1"/>
        </w:rPr>
        <w:t xml:space="preserve">        </w:t>
      </w:r>
      <w:r w:rsidR="006F4634" w:rsidRPr="00541E47">
        <w:rPr>
          <w:color w:val="000000" w:themeColor="text1"/>
        </w:rPr>
        <w:t xml:space="preserve">    </w:t>
      </w:r>
      <w:r w:rsidR="00502DFC" w:rsidRPr="00541E47">
        <w:rPr>
          <w:color w:val="000000" w:themeColor="text1"/>
        </w:rPr>
        <w:t xml:space="preserve">   </w:t>
      </w:r>
      <w:r w:rsidR="00B575FE" w:rsidRPr="00541E47">
        <w:rPr>
          <w:color w:val="000000" w:themeColor="text1"/>
        </w:rPr>
        <w:br w:type="page"/>
      </w:r>
      <w:r w:rsidR="006534A0" w:rsidRPr="00541E47">
        <w:rPr>
          <w:b/>
          <w:color w:val="000000" w:themeColor="text1"/>
        </w:rPr>
        <w:lastRenderedPageBreak/>
        <w:t>R</w:t>
      </w:r>
      <w:r w:rsidR="00B64AE6" w:rsidRPr="00541E47">
        <w:rPr>
          <w:b/>
          <w:color w:val="000000" w:themeColor="text1"/>
        </w:rPr>
        <w:t>eferences</w:t>
      </w:r>
      <w:bookmarkEnd w:id="7"/>
    </w:p>
    <w:p w:rsidR="007F5591" w:rsidRPr="00541E47" w:rsidRDefault="00E927C0" w:rsidP="000115EF">
      <w:pPr>
        <w:ind w:left="720" w:hanging="720"/>
        <w:jc w:val="both"/>
        <w:rPr>
          <w:color w:val="000000" w:themeColor="text1"/>
          <w:lang w:val="en-CA" w:eastAsia="fr-FR"/>
        </w:rPr>
      </w:pPr>
      <w:r w:rsidRPr="00541E47">
        <w:rPr>
          <w:color w:val="000000" w:themeColor="text1"/>
          <w:lang w:val="fr-FR" w:eastAsia="fr-FR"/>
        </w:rPr>
        <w:t xml:space="preserve">Annabi N., Cockburn, J., et Decaluwé, B. 2004. </w:t>
      </w:r>
      <w:r w:rsidR="007F5591" w:rsidRPr="00541E47">
        <w:rPr>
          <w:color w:val="000000" w:themeColor="text1"/>
          <w:lang w:val="en-CA" w:eastAsia="fr-FR"/>
        </w:rPr>
        <w:t xml:space="preserve">« A sequential dynamic CGE model for poverty analysis », </w:t>
      </w:r>
      <w:hyperlink r:id="rId19" w:history="1">
        <w:r w:rsidR="007F5591" w:rsidRPr="00541E47">
          <w:rPr>
            <w:color w:val="000000" w:themeColor="text1"/>
            <w:lang w:val="en-CA"/>
          </w:rPr>
          <w:t>http://www.cirpee.org</w:t>
        </w:r>
      </w:hyperlink>
      <w:r w:rsidR="007F5591" w:rsidRPr="00541E47">
        <w:rPr>
          <w:color w:val="000000" w:themeColor="text1"/>
          <w:lang w:val="en-CA" w:eastAsia="fr-FR"/>
        </w:rPr>
        <w:t>.</w:t>
      </w:r>
    </w:p>
    <w:p w:rsidR="00B64AE6" w:rsidRPr="00541E47" w:rsidRDefault="00B64AE6" w:rsidP="000115EF">
      <w:pPr>
        <w:ind w:left="720" w:hanging="720"/>
        <w:jc w:val="both"/>
        <w:rPr>
          <w:color w:val="000000" w:themeColor="text1"/>
          <w:lang w:val="fr-FR"/>
        </w:rPr>
      </w:pPr>
      <w:r w:rsidRPr="00541E47">
        <w:rPr>
          <w:color w:val="000000" w:themeColor="text1"/>
        </w:rPr>
        <w:t xml:space="preserve">Armington, P.A. (1969) “A Theory of Demand for Products Distinguished by Place of Production.” </w:t>
      </w:r>
      <w:r w:rsidRPr="00541E47">
        <w:rPr>
          <w:i/>
          <w:color w:val="000000" w:themeColor="text1"/>
          <w:lang w:val="fr-FR"/>
        </w:rPr>
        <w:t>IMF Staff Papers</w:t>
      </w:r>
      <w:r w:rsidRPr="00541E47">
        <w:rPr>
          <w:color w:val="000000" w:themeColor="text1"/>
          <w:lang w:val="fr-FR"/>
        </w:rPr>
        <w:t>, Vol. 16, No. 1: 159-178.</w:t>
      </w:r>
    </w:p>
    <w:p w:rsidR="001F4B8C" w:rsidRPr="00541E47" w:rsidRDefault="001F4B8C" w:rsidP="000115EF">
      <w:pPr>
        <w:ind w:left="720" w:hanging="720"/>
        <w:jc w:val="both"/>
        <w:rPr>
          <w:color w:val="000000" w:themeColor="text1"/>
          <w:lang w:val="fr-FR"/>
        </w:rPr>
      </w:pPr>
      <w:r w:rsidRPr="00541E47">
        <w:rPr>
          <w:color w:val="000000" w:themeColor="text1"/>
          <w:lang w:val="fr-FR"/>
        </w:rPr>
        <w:t>Cabral F. J. (2005), Accord agricole et redistribution des revenus en milieu rural au Sénégal : essai de  simulation à l’ai d’un modèle d’équilibre général calculable. Thèse de doctorat d’Etat en sciences économiques, Université Cheikh Anta Diop de Dakar.</w:t>
      </w:r>
    </w:p>
    <w:p w:rsidR="00560691" w:rsidRPr="00541E47" w:rsidRDefault="00560691" w:rsidP="000115EF">
      <w:pPr>
        <w:jc w:val="both"/>
        <w:outlineLvl w:val="1"/>
        <w:rPr>
          <w:color w:val="000000" w:themeColor="text1"/>
          <w:lang w:val="fr-FR"/>
        </w:rPr>
      </w:pPr>
      <w:r w:rsidRPr="00541E47">
        <w:rPr>
          <w:color w:val="000000" w:themeColor="text1"/>
          <w:lang w:val="fr-FR"/>
        </w:rPr>
        <w:t>Cabral F. J. (2010), « Matrice de comptabilité sociale du Sénégal », mimeo</w:t>
      </w:r>
    </w:p>
    <w:p w:rsidR="00865C78" w:rsidRPr="00541E47" w:rsidRDefault="00865C78" w:rsidP="000115EF">
      <w:pPr>
        <w:jc w:val="both"/>
        <w:outlineLvl w:val="1"/>
        <w:rPr>
          <w:color w:val="000000" w:themeColor="text1"/>
          <w:lang w:val="fr-FR"/>
        </w:rPr>
      </w:pPr>
      <w:r w:rsidRPr="00541E47">
        <w:rPr>
          <w:color w:val="000000" w:themeColor="text1"/>
          <w:lang w:val="fr-FR"/>
        </w:rPr>
        <w:t>Caramel L. (2009), « Le marché des agrocarburants souffre des effets de la crise », Le Monde</w:t>
      </w:r>
    </w:p>
    <w:p w:rsidR="00B221E1" w:rsidRPr="00541E47" w:rsidRDefault="00B221E1" w:rsidP="000115EF">
      <w:pPr>
        <w:ind w:left="720" w:hanging="720"/>
        <w:jc w:val="both"/>
        <w:rPr>
          <w:color w:val="000000" w:themeColor="text1"/>
          <w:lang w:val="fr-FR"/>
        </w:rPr>
      </w:pPr>
      <w:r w:rsidRPr="00541E47">
        <w:rPr>
          <w:color w:val="000000" w:themeColor="text1"/>
          <w:lang w:val="fr-FR"/>
        </w:rPr>
        <w:t>Dansokho, M. (2000). Essai de simulation de l’ajustement structurel dans le secteur agricole du Sénégal à l’aide d’un modèle d’équilibre général calculable,</w:t>
      </w:r>
      <w:r w:rsidR="004B4747" w:rsidRPr="00541E47">
        <w:rPr>
          <w:color w:val="000000" w:themeColor="text1"/>
          <w:lang w:val="fr-FR"/>
        </w:rPr>
        <w:t xml:space="preserve"> </w:t>
      </w:r>
      <w:r w:rsidRPr="00541E47">
        <w:rPr>
          <w:color w:val="000000" w:themeColor="text1"/>
          <w:lang w:val="fr-FR"/>
        </w:rPr>
        <w:t xml:space="preserve">Dakar, UCAD Thèse de Doctorat </w:t>
      </w:r>
      <w:r w:rsidR="004B4747" w:rsidRPr="00541E47">
        <w:rPr>
          <w:color w:val="000000" w:themeColor="text1"/>
          <w:lang w:val="fr-FR"/>
        </w:rPr>
        <w:t>d’État ès Sciences Économiques.</w:t>
      </w:r>
    </w:p>
    <w:p w:rsidR="00B221E1" w:rsidRPr="00541E47" w:rsidRDefault="00B221E1" w:rsidP="000115EF">
      <w:pPr>
        <w:ind w:left="720" w:hanging="720"/>
        <w:jc w:val="both"/>
        <w:rPr>
          <w:color w:val="000000" w:themeColor="text1"/>
          <w:lang w:val="fr-FR"/>
        </w:rPr>
      </w:pPr>
      <w:r w:rsidRPr="00541E47">
        <w:rPr>
          <w:color w:val="000000" w:themeColor="text1"/>
          <w:lang w:val="fr-FR"/>
        </w:rPr>
        <w:t xml:space="preserve">Decaluwé, B., Martens, A. et Savard, L. (2001). La Politique économique du développement et les modèles d’équilibre général calculable, Montréal, les Presses de l’Université de Montréal. </w:t>
      </w:r>
    </w:p>
    <w:p w:rsidR="00B221E1" w:rsidRPr="00541E47" w:rsidRDefault="00B221E1" w:rsidP="000115EF">
      <w:pPr>
        <w:ind w:left="720" w:hanging="720"/>
        <w:jc w:val="both"/>
        <w:rPr>
          <w:color w:val="000000" w:themeColor="text1"/>
          <w:lang w:val="fr-FR"/>
        </w:rPr>
      </w:pPr>
      <w:r w:rsidRPr="00541E47">
        <w:rPr>
          <w:color w:val="000000" w:themeColor="text1"/>
          <w:lang w:val="fr-FR"/>
        </w:rPr>
        <w:t>Decaluwé, B., Dissou, Y. et Patry, A. (2001), « Union douanière au sein de l’UEMOA : une analyse quantitative », Revue économique, vol. 52, n°4, juillet p 811-830.</w:t>
      </w:r>
    </w:p>
    <w:p w:rsidR="00B221E1" w:rsidRPr="00541E47" w:rsidRDefault="00B221E1" w:rsidP="000115EF">
      <w:pPr>
        <w:ind w:left="720" w:hanging="720"/>
        <w:jc w:val="both"/>
        <w:rPr>
          <w:color w:val="000000" w:themeColor="text1"/>
        </w:rPr>
      </w:pPr>
      <w:r w:rsidRPr="00541E47">
        <w:rPr>
          <w:color w:val="000000" w:themeColor="text1"/>
        </w:rPr>
        <w:t>Dervis, K., de Melo, J., and Robinson, S. (1982) General Equilibrium Models for Development Policy. Cambridge University Press, New York.</w:t>
      </w:r>
    </w:p>
    <w:p w:rsidR="001632C1" w:rsidRPr="00541E47" w:rsidRDefault="00E1478B" w:rsidP="000115EF">
      <w:pPr>
        <w:ind w:left="720" w:hanging="720"/>
        <w:jc w:val="both"/>
        <w:rPr>
          <w:color w:val="000000" w:themeColor="text1"/>
          <w:lang w:val="en-CA" w:eastAsia="fr-FR"/>
        </w:rPr>
      </w:pPr>
      <w:r w:rsidRPr="00662484">
        <w:rPr>
          <w:color w:val="000000" w:themeColor="text1"/>
          <w:lang w:val="fr-FR" w:eastAsia="fr-FR"/>
        </w:rPr>
        <w:t>Diagne, A., Cabral, F.J., Cissé, F., Dansokho, M., Ba, S.  </w:t>
      </w:r>
      <w:r w:rsidR="001632C1" w:rsidRPr="00541E47">
        <w:rPr>
          <w:color w:val="000000" w:themeColor="text1"/>
          <w:lang w:val="en-CA" w:eastAsia="fr-FR"/>
        </w:rPr>
        <w:t>2008. « Trade policies, regional integration, poverty and income distribution in Senegal », in Trade liberalization and poverty: a CGE analysis of the 1990s experience in Africa and Asia, Cockburn, J., B. Decaluwé and Veronique Robichaud, eds., PEP.</w:t>
      </w:r>
    </w:p>
    <w:p w:rsidR="00B221E1" w:rsidRPr="00541E47" w:rsidRDefault="00B221E1" w:rsidP="000115EF">
      <w:pPr>
        <w:ind w:left="720" w:hanging="720"/>
        <w:jc w:val="both"/>
        <w:rPr>
          <w:color w:val="000000" w:themeColor="text1"/>
        </w:rPr>
      </w:pPr>
      <w:r w:rsidRPr="00541E47">
        <w:rPr>
          <w:color w:val="000000" w:themeColor="text1"/>
        </w:rPr>
        <w:t>Dissou, Y (1998). « Dynamic Effects in Senegal of the Regional Trade Agreement Among UEMOA Countries », Cahiers de Recherches, CREFA.</w:t>
      </w:r>
    </w:p>
    <w:p w:rsidR="00B221E1" w:rsidRPr="00541E47" w:rsidRDefault="00B221E1" w:rsidP="000115EF">
      <w:pPr>
        <w:ind w:left="720" w:hanging="720"/>
        <w:jc w:val="both"/>
        <w:rPr>
          <w:color w:val="000000" w:themeColor="text1"/>
          <w:lang w:val="fr-FR"/>
        </w:rPr>
      </w:pPr>
      <w:r w:rsidRPr="00541E47">
        <w:rPr>
          <w:color w:val="000000" w:themeColor="text1"/>
          <w:lang w:val="fr-FR"/>
        </w:rPr>
        <w:t xml:space="preserve">Dumont, J. C. et Mesplé-Somps, S. (2001). « Des retombées généralement bien appréciées : infrastructure publique, croissance et compétitivité au Sénégal » in  Decaluwé, Martens et Savard. </w:t>
      </w:r>
    </w:p>
    <w:p w:rsidR="002C22C6" w:rsidRPr="00541E47" w:rsidRDefault="002C22C6" w:rsidP="000115EF">
      <w:pPr>
        <w:jc w:val="both"/>
        <w:rPr>
          <w:color w:val="000000" w:themeColor="text1"/>
          <w:sz w:val="28"/>
          <w:szCs w:val="28"/>
        </w:rPr>
      </w:pPr>
      <w:r w:rsidRPr="00541E47">
        <w:rPr>
          <w:color w:val="000000" w:themeColor="text1"/>
          <w:sz w:val="28"/>
          <w:szCs w:val="28"/>
        </w:rPr>
        <w:t>Evans M</w:t>
      </w:r>
      <w:r w:rsidR="004C7C8B" w:rsidRPr="00541E47">
        <w:rPr>
          <w:color w:val="000000" w:themeColor="text1"/>
          <w:sz w:val="28"/>
          <w:szCs w:val="28"/>
        </w:rPr>
        <w:t xml:space="preserve">. </w:t>
      </w:r>
      <w:r w:rsidRPr="00541E47">
        <w:rPr>
          <w:color w:val="000000" w:themeColor="text1"/>
          <w:sz w:val="28"/>
          <w:szCs w:val="28"/>
        </w:rPr>
        <w:t xml:space="preserve">(2010), Key requirements for successful biodiesel sector development </w:t>
      </w:r>
    </w:p>
    <w:p w:rsidR="002C22C6" w:rsidRPr="00541E47" w:rsidRDefault="002C22C6" w:rsidP="000115EF">
      <w:pPr>
        <w:ind w:firstLine="720"/>
        <w:jc w:val="both"/>
        <w:rPr>
          <w:color w:val="000000" w:themeColor="text1"/>
          <w:sz w:val="28"/>
          <w:szCs w:val="28"/>
        </w:rPr>
      </w:pPr>
      <w:r w:rsidRPr="00541E47">
        <w:rPr>
          <w:color w:val="000000" w:themeColor="text1"/>
          <w:sz w:val="28"/>
          <w:szCs w:val="28"/>
        </w:rPr>
        <w:t>in Senegal : a Summary Assessment</w:t>
      </w:r>
      <w:r w:rsidR="004C7C8B" w:rsidRPr="00541E47">
        <w:rPr>
          <w:color w:val="000000" w:themeColor="text1"/>
          <w:sz w:val="28"/>
          <w:szCs w:val="28"/>
        </w:rPr>
        <w:t>, mimeo</w:t>
      </w:r>
    </w:p>
    <w:p w:rsidR="004C7C8B" w:rsidRPr="00541E47" w:rsidRDefault="004C7C8B" w:rsidP="000115EF">
      <w:pPr>
        <w:ind w:left="720" w:hanging="720"/>
        <w:jc w:val="both"/>
        <w:rPr>
          <w:color w:val="000000" w:themeColor="text1"/>
        </w:rPr>
      </w:pPr>
    </w:p>
    <w:p w:rsidR="00B221E1" w:rsidRPr="00541E47" w:rsidRDefault="00B221E1" w:rsidP="000115EF">
      <w:pPr>
        <w:ind w:left="720" w:hanging="720"/>
        <w:jc w:val="both"/>
        <w:rPr>
          <w:color w:val="000000" w:themeColor="text1"/>
          <w:lang w:val="fr-FR"/>
        </w:rPr>
      </w:pPr>
      <w:r w:rsidRPr="00541E47">
        <w:rPr>
          <w:color w:val="000000" w:themeColor="text1"/>
        </w:rPr>
        <w:t xml:space="preserve">Fofana I., J. Cockburn, B. Decaluwé, A. Diagne, F. Cissé and F. J. Cabral (2006). </w:t>
      </w:r>
      <w:r w:rsidRPr="00541E47">
        <w:rPr>
          <w:color w:val="000000" w:themeColor="text1"/>
          <w:lang w:val="fr-FR"/>
        </w:rPr>
        <w:t xml:space="preserve">“Libéralisation du commerce et pauvreté en Afrique : le cas du Sénégal”, mimeo  </w:t>
      </w:r>
    </w:p>
    <w:p w:rsidR="00F81953" w:rsidRPr="00541E47" w:rsidRDefault="00F81953" w:rsidP="000115EF">
      <w:pPr>
        <w:ind w:left="720" w:hanging="720"/>
        <w:jc w:val="both"/>
        <w:rPr>
          <w:color w:val="000000" w:themeColor="text1"/>
          <w:lang w:val="fr-FR"/>
        </w:rPr>
      </w:pPr>
      <w:r w:rsidRPr="00541E47">
        <w:rPr>
          <w:color w:val="000000" w:themeColor="text1"/>
          <w:lang w:val="fr-FR"/>
        </w:rPr>
        <w:t>République du Sénégal (2009), “Note d’analyse du commerce extérieur”, Minsitre de l’économie et des finances</w:t>
      </w:r>
    </w:p>
    <w:p w:rsidR="007F5591" w:rsidRPr="00541E47" w:rsidRDefault="007F5591" w:rsidP="000115EF">
      <w:pPr>
        <w:ind w:left="720" w:hanging="720"/>
        <w:jc w:val="both"/>
        <w:rPr>
          <w:color w:val="000000" w:themeColor="text1"/>
        </w:rPr>
      </w:pPr>
      <w:r w:rsidRPr="00541E47">
        <w:rPr>
          <w:color w:val="000000" w:themeColor="text1"/>
        </w:rPr>
        <w:t xml:space="preserve">Taylor, L. (1983) </w:t>
      </w:r>
      <w:r w:rsidRPr="00541E47">
        <w:rPr>
          <w:i/>
          <w:color w:val="000000" w:themeColor="text1"/>
        </w:rPr>
        <w:t>Structuralist Macroeconomics</w:t>
      </w:r>
      <w:r w:rsidRPr="00541E47">
        <w:rPr>
          <w:color w:val="000000" w:themeColor="text1"/>
        </w:rPr>
        <w:t>. Basic Books, New York.</w:t>
      </w:r>
    </w:p>
    <w:p w:rsidR="007A7679" w:rsidRPr="00541E47" w:rsidRDefault="007A7679">
      <w:pPr>
        <w:rPr>
          <w:color w:val="000000" w:themeColor="text1"/>
        </w:rPr>
      </w:pPr>
      <w:r w:rsidRPr="00541E47">
        <w:rPr>
          <w:color w:val="000000" w:themeColor="text1"/>
        </w:rPr>
        <w:br w:type="page"/>
      </w:r>
    </w:p>
    <w:p w:rsidR="00B9646C" w:rsidRPr="00C52CCA" w:rsidRDefault="007A7679" w:rsidP="000115EF">
      <w:pPr>
        <w:jc w:val="both"/>
        <w:rPr>
          <w:b/>
          <w:color w:val="000000" w:themeColor="text1"/>
        </w:rPr>
      </w:pPr>
      <w:r w:rsidRPr="00C52CCA">
        <w:rPr>
          <w:b/>
          <w:color w:val="000000" w:themeColor="text1"/>
        </w:rPr>
        <w:lastRenderedPageBreak/>
        <w:t xml:space="preserve">Annex </w:t>
      </w:r>
    </w:p>
    <w:p w:rsidR="000E3A09" w:rsidRPr="00541E47" w:rsidRDefault="007A7679" w:rsidP="000115EF">
      <w:pPr>
        <w:jc w:val="both"/>
        <w:rPr>
          <w:color w:val="000000" w:themeColor="text1"/>
        </w:rPr>
      </w:pPr>
      <w:r w:rsidRPr="00541E47">
        <w:rPr>
          <w:color w:val="000000" w:themeColor="text1"/>
        </w:rPr>
        <w:t xml:space="preserve">Table A1: </w:t>
      </w:r>
      <w:r w:rsidR="000E3A09" w:rsidRPr="00541E47">
        <w:rPr>
          <w:color w:val="000000" w:themeColor="text1"/>
        </w:rPr>
        <w:t>Sectorial e</w:t>
      </w:r>
      <w:r w:rsidRPr="00541E47">
        <w:rPr>
          <w:color w:val="000000" w:themeColor="text1"/>
        </w:rPr>
        <w:t>nergy intensity in 2005 (in %)</w:t>
      </w:r>
    </w:p>
    <w:tbl>
      <w:tblPr>
        <w:tblW w:w="9763" w:type="dxa"/>
        <w:tblInd w:w="91" w:type="dxa"/>
        <w:tblLook w:val="04A0"/>
      </w:tblPr>
      <w:tblGrid>
        <w:gridCol w:w="1872"/>
        <w:gridCol w:w="4767"/>
        <w:gridCol w:w="3124"/>
      </w:tblGrid>
      <w:tr w:rsidR="000E3A09" w:rsidRPr="00541E47" w:rsidTr="000E3A09">
        <w:trPr>
          <w:trHeight w:val="300"/>
        </w:trPr>
        <w:tc>
          <w:tcPr>
            <w:tcW w:w="1872" w:type="dxa"/>
            <w:tcBorders>
              <w:top w:val="single" w:sz="4" w:space="0" w:color="auto"/>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Sectors </w:t>
            </w:r>
          </w:p>
        </w:tc>
        <w:tc>
          <w:tcPr>
            <w:tcW w:w="4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Relative shares of each sector in total refined petroleum  consumption </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Share of energy in the </w:t>
            </w:r>
          </w:p>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total inputs of the sector </w:t>
            </w:r>
          </w:p>
        </w:tc>
      </w:tr>
      <w:tr w:rsidR="000E3A09" w:rsidRPr="00541E47" w:rsidTr="000E3A09">
        <w:trPr>
          <w:trHeight w:val="300"/>
        </w:trPr>
        <w:tc>
          <w:tcPr>
            <w:tcW w:w="1872" w:type="dxa"/>
            <w:tcBorders>
              <w:top w:val="single" w:sz="4" w:space="0" w:color="auto"/>
              <w:left w:val="single" w:sz="4" w:space="0" w:color="auto"/>
              <w:bottom w:val="single" w:sz="4" w:space="0" w:color="auto"/>
              <w:right w:val="nil"/>
            </w:tcBorders>
            <w:shd w:val="clear" w:color="auto" w:fill="auto"/>
            <w:noWrap/>
            <w:vAlign w:val="bottom"/>
            <w:hideMark/>
          </w:tcPr>
          <w:p w:rsidR="000E3A09" w:rsidRPr="00541E47" w:rsidRDefault="000E3A09" w:rsidP="00623CC7">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Millet/sorghum</w:t>
            </w:r>
          </w:p>
        </w:tc>
        <w:tc>
          <w:tcPr>
            <w:tcW w:w="4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623CC7">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0E3A09" w:rsidRPr="00541E47" w:rsidRDefault="000E3A09" w:rsidP="00623CC7">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Maize</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0,03</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2,48</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Rice</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0,17</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3,45</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Vegetables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0,07</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1,36</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Fruits</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0,04</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0,90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Cotton</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0,14</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3,15</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Groundnut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0,09</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0,68</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Other agricultural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Jatropha</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Sugarcane for sugar</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Sugarcane  for ethanol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Livestock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Fishery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6,17</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13,00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Food oil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0,02</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0,03</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food industries</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2,82</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1,39</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xml:space="preserve">Sugar </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0,62</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5,45</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Other industries</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57,07</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5,90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Refined oil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Biodiesel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Bioethanol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Crude oil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Tradable services</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29,70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3,42</w:t>
            </w:r>
          </w:p>
        </w:tc>
      </w:tr>
      <w:tr w:rsidR="000E3A09" w:rsidRPr="00541E47" w:rsidTr="000E3A09">
        <w:trPr>
          <w:trHeight w:val="300"/>
        </w:trPr>
        <w:tc>
          <w:tcPr>
            <w:tcW w:w="1872" w:type="dxa"/>
            <w:tcBorders>
              <w:top w:val="nil"/>
              <w:left w:val="single" w:sz="4" w:space="0" w:color="auto"/>
              <w:bottom w:val="single" w:sz="4"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Non Tradable services</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3,07</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3,44</w:t>
            </w:r>
          </w:p>
        </w:tc>
      </w:tr>
      <w:tr w:rsidR="000E3A09" w:rsidRPr="00541E47" w:rsidTr="000E3A09">
        <w:trPr>
          <w:trHeight w:val="315"/>
        </w:trPr>
        <w:tc>
          <w:tcPr>
            <w:tcW w:w="1872" w:type="dxa"/>
            <w:tcBorders>
              <w:top w:val="nil"/>
              <w:left w:val="single" w:sz="8" w:space="0" w:color="auto"/>
              <w:bottom w:val="single" w:sz="8" w:space="0" w:color="auto"/>
              <w:right w:val="nil"/>
            </w:tcBorders>
            <w:shd w:val="clear" w:color="auto" w:fill="auto"/>
            <w:noWrap/>
            <w:vAlign w:val="bottom"/>
            <w:hideMark/>
          </w:tcPr>
          <w:p w:rsidR="000E3A09" w:rsidRPr="00541E47" w:rsidRDefault="000E3A09" w:rsidP="000E3A09">
            <w:pP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Total</w:t>
            </w:r>
          </w:p>
        </w:tc>
        <w:tc>
          <w:tcPr>
            <w:tcW w:w="4767" w:type="dxa"/>
            <w:tcBorders>
              <w:top w:val="nil"/>
              <w:left w:val="single" w:sz="4" w:space="0" w:color="auto"/>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100,00</w:t>
            </w:r>
          </w:p>
        </w:tc>
        <w:tc>
          <w:tcPr>
            <w:tcW w:w="3124" w:type="dxa"/>
            <w:tcBorders>
              <w:top w:val="nil"/>
              <w:left w:val="nil"/>
              <w:bottom w:val="single" w:sz="4" w:space="0" w:color="auto"/>
              <w:right w:val="single" w:sz="4" w:space="0" w:color="auto"/>
            </w:tcBorders>
            <w:shd w:val="clear" w:color="auto" w:fill="auto"/>
            <w:noWrap/>
            <w:vAlign w:val="bottom"/>
            <w:hideMark/>
          </w:tcPr>
          <w:p w:rsidR="000E3A09" w:rsidRPr="00541E47" w:rsidRDefault="000E3A09" w:rsidP="000E3A09">
            <w:pPr>
              <w:jc w:val="center"/>
              <w:rPr>
                <w:rFonts w:ascii="Calibri" w:hAnsi="Calibri"/>
                <w:color w:val="000000" w:themeColor="text1"/>
                <w:sz w:val="20"/>
                <w:szCs w:val="20"/>
                <w:lang w:val="en-US" w:eastAsia="en-US"/>
              </w:rPr>
            </w:pPr>
            <w:r w:rsidRPr="00541E47">
              <w:rPr>
                <w:rFonts w:ascii="Calibri" w:hAnsi="Calibri"/>
                <w:color w:val="000000" w:themeColor="text1"/>
                <w:sz w:val="20"/>
                <w:szCs w:val="20"/>
                <w:lang w:val="en-US" w:eastAsia="en-US"/>
              </w:rPr>
              <w:t> </w:t>
            </w:r>
          </w:p>
        </w:tc>
      </w:tr>
    </w:tbl>
    <w:p w:rsidR="007A7679" w:rsidRPr="00541E47" w:rsidRDefault="000E3A09" w:rsidP="000115EF">
      <w:pPr>
        <w:jc w:val="both"/>
        <w:rPr>
          <w:color w:val="000000" w:themeColor="text1"/>
        </w:rPr>
      </w:pPr>
      <w:r w:rsidRPr="00541E47">
        <w:rPr>
          <w:color w:val="000000" w:themeColor="text1"/>
        </w:rPr>
        <w:t xml:space="preserve">Source: calculations from the Sam </w:t>
      </w:r>
      <w:r w:rsidR="007A7679" w:rsidRPr="00541E47">
        <w:rPr>
          <w:color w:val="000000" w:themeColor="text1"/>
        </w:rPr>
        <w:t xml:space="preserve"> </w:t>
      </w:r>
    </w:p>
    <w:p w:rsidR="007A7679" w:rsidRPr="00541E47" w:rsidRDefault="007A7679" w:rsidP="000115EF">
      <w:pPr>
        <w:jc w:val="both"/>
        <w:rPr>
          <w:color w:val="000000" w:themeColor="text1"/>
        </w:rPr>
      </w:pPr>
    </w:p>
    <w:p w:rsidR="0013763F" w:rsidRPr="00541E47" w:rsidRDefault="0013763F" w:rsidP="0013763F">
      <w:pPr>
        <w:jc w:val="both"/>
        <w:rPr>
          <w:color w:val="000000" w:themeColor="text1"/>
        </w:rPr>
      </w:pPr>
      <w:r w:rsidRPr="00541E47">
        <w:rPr>
          <w:color w:val="000000" w:themeColor="text1"/>
        </w:rPr>
        <w:t>Table A2: price changes for Senegalese economy induced by a world biofuel boom, 2006-2020 (in %)</w:t>
      </w:r>
    </w:p>
    <w:tbl>
      <w:tblPr>
        <w:tblW w:w="9436" w:type="dxa"/>
        <w:tblInd w:w="93" w:type="dxa"/>
        <w:tblLook w:val="04A0"/>
      </w:tblPr>
      <w:tblGrid>
        <w:gridCol w:w="1836"/>
        <w:gridCol w:w="1266"/>
        <w:gridCol w:w="1266"/>
        <w:gridCol w:w="1267"/>
        <w:gridCol w:w="1267"/>
        <w:gridCol w:w="1267"/>
        <w:gridCol w:w="1267"/>
      </w:tblGrid>
      <w:tr w:rsidR="0013763F" w:rsidRPr="0013763F" w:rsidTr="0013763F">
        <w:trPr>
          <w:trHeight w:val="300"/>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3F" w:rsidRPr="0013763F" w:rsidRDefault="0013763F"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 </w:t>
            </w:r>
          </w:p>
        </w:tc>
        <w:tc>
          <w:tcPr>
            <w:tcW w:w="3799" w:type="dxa"/>
            <w:gridSpan w:val="3"/>
            <w:tcBorders>
              <w:top w:val="single" w:sz="4" w:space="0" w:color="auto"/>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Imports prices</w:t>
            </w:r>
          </w:p>
        </w:tc>
        <w:tc>
          <w:tcPr>
            <w:tcW w:w="3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Exports prices</w:t>
            </w:r>
          </w:p>
        </w:tc>
      </w:tr>
      <w:tr w:rsidR="0013763F"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13763F" w:rsidRPr="0013763F" w:rsidRDefault="0013763F"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 </w:t>
            </w:r>
          </w:p>
        </w:tc>
        <w:tc>
          <w:tcPr>
            <w:tcW w:w="1266"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2006-2010</w:t>
            </w:r>
          </w:p>
        </w:tc>
        <w:tc>
          <w:tcPr>
            <w:tcW w:w="1266"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2011-2015</w:t>
            </w:r>
          </w:p>
        </w:tc>
        <w:tc>
          <w:tcPr>
            <w:tcW w:w="1267"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2016-2020</w:t>
            </w:r>
          </w:p>
        </w:tc>
        <w:tc>
          <w:tcPr>
            <w:tcW w:w="1267"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2006-2010</w:t>
            </w:r>
          </w:p>
        </w:tc>
        <w:tc>
          <w:tcPr>
            <w:tcW w:w="1267"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2011-2015</w:t>
            </w:r>
          </w:p>
        </w:tc>
        <w:tc>
          <w:tcPr>
            <w:tcW w:w="1267" w:type="dxa"/>
            <w:tcBorders>
              <w:top w:val="nil"/>
              <w:left w:val="nil"/>
              <w:bottom w:val="single" w:sz="4" w:space="0" w:color="auto"/>
              <w:right w:val="single" w:sz="4" w:space="0" w:color="auto"/>
            </w:tcBorders>
            <w:shd w:val="clear" w:color="auto" w:fill="auto"/>
            <w:noWrap/>
            <w:vAlign w:val="bottom"/>
            <w:hideMark/>
          </w:tcPr>
          <w:p w:rsidR="0013763F" w:rsidRPr="0013763F" w:rsidRDefault="0013763F" w:rsidP="00662484">
            <w:pPr>
              <w:jc w:val="cente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2016-2020</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Rice</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0,24</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0,54</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Wheat</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0,57</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0,81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0,92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0,95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1,14</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Maize</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0,76</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1,11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1,56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2,85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3,55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4,13</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Other Grain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0,61</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0,96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1,25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0,91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1,20</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Vegetable&amp;fruits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0,35</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0,75</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Soybean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1,01</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1,36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1,60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1,26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0,96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2,50</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Other oilseeds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0,83</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1,24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1,79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1,54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2,20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3,30</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Sugar</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0,22</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0,69</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Pfb</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0,32</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0,84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0,78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1,01</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Other crops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0,32</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0,79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0,83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1,07</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Frorestry</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0,12</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0,15</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Beef&amp;Mutton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0,15</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0,39</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lastRenderedPageBreak/>
              <w:t>Pork&amp;Poultry</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0,20</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0,35</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Milk</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0,00</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0,05</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Fishery</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0,20</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0,24</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Processed food</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0,05</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0,11</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Other primary industry</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-0,12</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-0,20</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Coal</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-0,13</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-0,02</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Oil</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-0,46</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-0,62</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Gas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-0,23</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-0,17</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Oil_products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-0,34</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-0,68</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Electricity</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-0,04</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-0,08</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Fertilizer&amp;Pesticide</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-0,12</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Energy intensive industies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-0,14</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-0,05</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-0,14</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Other industries</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-0,03</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-0,08</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Bio-ethanol</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-0,33</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-0,39</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Bio-diesel</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-0,47</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-0,23</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-0,53</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Road transportation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-0,10</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-0,06</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-0,22</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-0,21</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Water transportation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-0,10</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-0,07</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-0,18</w:t>
            </w:r>
          </w:p>
        </w:tc>
      </w:tr>
      <w:tr w:rsidR="00662484" w:rsidRPr="0013763F" w:rsidTr="0013763F">
        <w:trPr>
          <w:trHeight w:val="300"/>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662484" w:rsidRPr="0013763F" w:rsidRDefault="00662484" w:rsidP="0013763F">
            <w:pPr>
              <w:rPr>
                <w:rFonts w:ascii="Calibri" w:hAnsi="Calibri"/>
                <w:color w:val="000000" w:themeColor="text1"/>
                <w:sz w:val="20"/>
                <w:szCs w:val="20"/>
                <w:lang w:val="en-US" w:eastAsia="en-US"/>
              </w:rPr>
            </w:pPr>
            <w:r w:rsidRPr="0013763F">
              <w:rPr>
                <w:rFonts w:ascii="Calibri" w:hAnsi="Calibri"/>
                <w:color w:val="000000" w:themeColor="text1"/>
                <w:sz w:val="20"/>
                <w:szCs w:val="20"/>
                <w:lang w:val="en-US" w:eastAsia="en-US"/>
              </w:rPr>
              <w:t>Air transportation</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-0,11</w:t>
            </w:r>
          </w:p>
        </w:tc>
        <w:tc>
          <w:tcPr>
            <w:tcW w:w="1266"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-0,08</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-0,21</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-0,10</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-0,09</w:t>
            </w:r>
          </w:p>
        </w:tc>
        <w:tc>
          <w:tcPr>
            <w:tcW w:w="1267" w:type="dxa"/>
            <w:tcBorders>
              <w:top w:val="nil"/>
              <w:left w:val="nil"/>
              <w:bottom w:val="single" w:sz="4" w:space="0" w:color="auto"/>
              <w:right w:val="single" w:sz="4" w:space="0" w:color="auto"/>
            </w:tcBorders>
            <w:shd w:val="clear" w:color="auto" w:fill="auto"/>
            <w:noWrap/>
            <w:vAlign w:val="bottom"/>
            <w:hideMark/>
          </w:tcPr>
          <w:p w:rsidR="00662484" w:rsidRPr="00662484" w:rsidRDefault="00662484" w:rsidP="00662484">
            <w:pPr>
              <w:jc w:val="center"/>
              <w:rPr>
                <w:rFonts w:ascii="Calibri" w:hAnsi="Calibri"/>
                <w:color w:val="000000"/>
                <w:sz w:val="22"/>
                <w:szCs w:val="22"/>
                <w:lang w:val="en-US" w:eastAsia="en-US"/>
              </w:rPr>
            </w:pPr>
            <w:r w:rsidRPr="00662484">
              <w:rPr>
                <w:rFonts w:ascii="Calibri" w:hAnsi="Calibri"/>
                <w:color w:val="000000"/>
                <w:sz w:val="22"/>
                <w:szCs w:val="22"/>
                <w:lang w:val="en-US" w:eastAsia="en-US"/>
              </w:rPr>
              <w:t>-0,19</w:t>
            </w:r>
          </w:p>
        </w:tc>
      </w:tr>
    </w:tbl>
    <w:p w:rsidR="0013763F" w:rsidRPr="00541E47" w:rsidRDefault="0013763F" w:rsidP="000115EF">
      <w:pPr>
        <w:jc w:val="both"/>
        <w:rPr>
          <w:color w:val="000000" w:themeColor="text1"/>
        </w:rPr>
      </w:pPr>
    </w:p>
    <w:p w:rsidR="0013763F" w:rsidRPr="00541E47" w:rsidRDefault="0013763F" w:rsidP="000115EF">
      <w:pPr>
        <w:jc w:val="both"/>
        <w:rPr>
          <w:color w:val="000000" w:themeColor="text1"/>
        </w:rPr>
      </w:pPr>
    </w:p>
    <w:sectPr w:rsidR="0013763F" w:rsidRPr="00541E47" w:rsidSect="002F62B0">
      <w:footerReference w:type="even" r:id="rId20"/>
      <w:footerReference w:type="default" r:id="rId21"/>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BC" w:rsidRDefault="00931EBC">
      <w:r>
        <w:separator/>
      </w:r>
    </w:p>
  </w:endnote>
  <w:endnote w:type="continuationSeparator" w:id="1">
    <w:p w:rsidR="00931EBC" w:rsidRDefault="00931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38" w:rsidRDefault="00C96721">
    <w:pPr>
      <w:pStyle w:val="Pieddepage"/>
      <w:framePr w:wrap="around" w:vAnchor="text" w:hAnchor="margin" w:xAlign="center" w:y="1"/>
      <w:rPr>
        <w:rStyle w:val="Numrodepage"/>
      </w:rPr>
    </w:pPr>
    <w:r>
      <w:rPr>
        <w:rStyle w:val="Numrodepage"/>
      </w:rPr>
      <w:fldChar w:fldCharType="begin"/>
    </w:r>
    <w:r w:rsidR="004E0C38">
      <w:rPr>
        <w:rStyle w:val="Numrodepage"/>
      </w:rPr>
      <w:instrText xml:space="preserve">PAGE  </w:instrText>
    </w:r>
    <w:r>
      <w:rPr>
        <w:rStyle w:val="Numrodepage"/>
      </w:rPr>
      <w:fldChar w:fldCharType="end"/>
    </w:r>
  </w:p>
  <w:p w:rsidR="004E0C38" w:rsidRDefault="004E0C3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38" w:rsidRDefault="00C96721">
    <w:pPr>
      <w:pStyle w:val="Pieddepage"/>
      <w:framePr w:wrap="around" w:vAnchor="text" w:hAnchor="margin" w:xAlign="center" w:y="1"/>
      <w:rPr>
        <w:rStyle w:val="Numrodepage"/>
      </w:rPr>
    </w:pPr>
    <w:r>
      <w:rPr>
        <w:rStyle w:val="Numrodepage"/>
      </w:rPr>
      <w:fldChar w:fldCharType="begin"/>
    </w:r>
    <w:r w:rsidR="004E0C38">
      <w:rPr>
        <w:rStyle w:val="Numrodepage"/>
      </w:rPr>
      <w:instrText xml:space="preserve">PAGE  </w:instrText>
    </w:r>
    <w:r>
      <w:rPr>
        <w:rStyle w:val="Numrodepage"/>
      </w:rPr>
      <w:fldChar w:fldCharType="separate"/>
    </w:r>
    <w:r w:rsidR="00D910E2">
      <w:rPr>
        <w:rStyle w:val="Numrodepage"/>
        <w:noProof/>
      </w:rPr>
      <w:t>4</w:t>
    </w:r>
    <w:r>
      <w:rPr>
        <w:rStyle w:val="Numrodepage"/>
      </w:rPr>
      <w:fldChar w:fldCharType="end"/>
    </w:r>
  </w:p>
  <w:p w:rsidR="004E0C38" w:rsidRDefault="004E0C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BC" w:rsidRDefault="00931EBC">
      <w:r>
        <w:separator/>
      </w:r>
    </w:p>
  </w:footnote>
  <w:footnote w:type="continuationSeparator" w:id="1">
    <w:p w:rsidR="00931EBC" w:rsidRDefault="00931EBC">
      <w:r>
        <w:continuationSeparator/>
      </w:r>
    </w:p>
  </w:footnote>
  <w:footnote w:id="2">
    <w:p w:rsidR="004E0C38" w:rsidRPr="00DE7692" w:rsidRDefault="004E0C38" w:rsidP="008257AD">
      <w:pPr>
        <w:rPr>
          <w:sz w:val="20"/>
          <w:szCs w:val="20"/>
          <w:lang w:val="en-US"/>
        </w:rPr>
      </w:pPr>
      <w:r>
        <w:rPr>
          <w:rStyle w:val="Appelnotedebasdep"/>
        </w:rPr>
        <w:footnoteRef/>
      </w:r>
      <w:r>
        <w:t xml:space="preserve"> </w:t>
      </w:r>
      <w:r w:rsidRPr="00DE7692">
        <w:rPr>
          <w:sz w:val="20"/>
          <w:szCs w:val="20"/>
          <w:lang w:val="en-US"/>
        </w:rPr>
        <w:t>Economic and social research consortium (CRES)</w:t>
      </w:r>
    </w:p>
    <w:p w:rsidR="004E0C38" w:rsidRPr="00DE7692" w:rsidRDefault="004E0C38">
      <w:pPr>
        <w:pStyle w:val="Notedebasdepage"/>
      </w:pPr>
    </w:p>
  </w:footnote>
  <w:footnote w:id="3">
    <w:p w:rsidR="004E0C38" w:rsidRPr="00DE7692" w:rsidRDefault="004E0C38" w:rsidP="008257AD">
      <w:pPr>
        <w:rPr>
          <w:sz w:val="20"/>
          <w:szCs w:val="20"/>
          <w:lang w:val="en-US"/>
        </w:rPr>
      </w:pPr>
      <w:r w:rsidRPr="00DE7692">
        <w:rPr>
          <w:rStyle w:val="Appelnotedebasdep"/>
          <w:sz w:val="20"/>
          <w:szCs w:val="20"/>
        </w:rPr>
        <w:footnoteRef/>
      </w:r>
      <w:r w:rsidRPr="00DE7692">
        <w:rPr>
          <w:sz w:val="20"/>
          <w:szCs w:val="20"/>
        </w:rPr>
        <w:t xml:space="preserve"> </w:t>
      </w:r>
      <w:r w:rsidRPr="00DE7692">
        <w:rPr>
          <w:sz w:val="20"/>
          <w:szCs w:val="20"/>
          <w:lang w:val="en-US"/>
        </w:rPr>
        <w:t>Economic and social research consortium (CRES)</w:t>
      </w:r>
    </w:p>
    <w:p w:rsidR="004E0C38" w:rsidRPr="00DE7692" w:rsidRDefault="004E0C38" w:rsidP="008257AD">
      <w:pPr>
        <w:pStyle w:val="Notedebasdepage"/>
      </w:pPr>
    </w:p>
  </w:footnote>
  <w:footnote w:id="4">
    <w:p w:rsidR="004E0C38" w:rsidRPr="00DE7692" w:rsidRDefault="004E0C38" w:rsidP="008257AD">
      <w:pPr>
        <w:rPr>
          <w:sz w:val="20"/>
          <w:szCs w:val="20"/>
          <w:lang w:val="en-US"/>
        </w:rPr>
      </w:pPr>
      <w:r w:rsidRPr="00DE7692">
        <w:rPr>
          <w:rStyle w:val="Appelnotedebasdep"/>
          <w:sz w:val="20"/>
          <w:szCs w:val="20"/>
        </w:rPr>
        <w:footnoteRef/>
      </w:r>
      <w:r w:rsidRPr="00DE7692">
        <w:rPr>
          <w:sz w:val="20"/>
          <w:szCs w:val="20"/>
        </w:rPr>
        <w:t xml:space="preserve"> </w:t>
      </w:r>
      <w:r w:rsidRPr="00DE7692">
        <w:rPr>
          <w:sz w:val="20"/>
          <w:szCs w:val="20"/>
          <w:lang w:val="en-US"/>
        </w:rPr>
        <w:t>Economic and social research consortium (CRES)</w:t>
      </w:r>
    </w:p>
    <w:p w:rsidR="004E0C38" w:rsidRPr="00DE7692" w:rsidRDefault="004E0C38" w:rsidP="008257AD">
      <w:pPr>
        <w:pStyle w:val="Notedebasdepage"/>
      </w:pPr>
    </w:p>
  </w:footnote>
  <w:footnote w:id="5">
    <w:p w:rsidR="004E0C38" w:rsidRPr="00DE7692" w:rsidRDefault="004E0C38" w:rsidP="005B2A0E">
      <w:pPr>
        <w:rPr>
          <w:sz w:val="20"/>
          <w:szCs w:val="20"/>
          <w:lang w:val="en-US"/>
        </w:rPr>
      </w:pPr>
      <w:r w:rsidRPr="00DE7692">
        <w:rPr>
          <w:rStyle w:val="Appelnotedebasdep"/>
          <w:sz w:val="20"/>
          <w:szCs w:val="20"/>
        </w:rPr>
        <w:footnoteRef/>
      </w:r>
      <w:r w:rsidRPr="00DE7692">
        <w:rPr>
          <w:sz w:val="20"/>
          <w:szCs w:val="20"/>
        </w:rPr>
        <w:t xml:space="preserve"> </w:t>
      </w:r>
      <w:r w:rsidRPr="005B2A0E">
        <w:rPr>
          <w:sz w:val="20"/>
          <w:szCs w:val="20"/>
          <w:lang w:val="en-US"/>
        </w:rPr>
        <w:t>Internation Food Policy Research Institute (IFPRI)</w:t>
      </w:r>
    </w:p>
    <w:p w:rsidR="004E0C38" w:rsidRPr="00DE7692" w:rsidRDefault="004E0C38" w:rsidP="005B2A0E">
      <w:pPr>
        <w:pStyle w:val="Notedebasdepage"/>
      </w:pPr>
    </w:p>
  </w:footnote>
  <w:footnote w:id="6">
    <w:p w:rsidR="004E0C38" w:rsidRPr="00A70A59" w:rsidRDefault="004E0C38" w:rsidP="0061509F">
      <w:pPr>
        <w:pStyle w:val="Notedebasdepage"/>
        <w:jc w:val="both"/>
        <w:rPr>
          <w:sz w:val="18"/>
          <w:szCs w:val="18"/>
        </w:rPr>
      </w:pPr>
      <w:r w:rsidRPr="00A70A59">
        <w:rPr>
          <w:rStyle w:val="Appelnotedebasdep"/>
          <w:sz w:val="18"/>
          <w:szCs w:val="18"/>
        </w:rPr>
        <w:footnoteRef/>
      </w:r>
      <w:r w:rsidRPr="00A70A59">
        <w:rPr>
          <w:sz w:val="18"/>
          <w:szCs w:val="18"/>
        </w:rPr>
        <w:t xml:space="preserve"> Davies (2009) provides an exhaustive review of the literature regarding the techniques of reconciling the macro-modeling with poverty and inequality analysis.</w:t>
      </w:r>
    </w:p>
  </w:footnote>
  <w:footnote w:id="7">
    <w:p w:rsidR="004E0C38" w:rsidRPr="005758FA" w:rsidRDefault="004E0C38" w:rsidP="0061509F">
      <w:pPr>
        <w:pStyle w:val="Notedebasdepage"/>
        <w:rPr>
          <w:lang w:val="fr-FR"/>
        </w:rPr>
      </w:pPr>
      <w:r>
        <w:rPr>
          <w:rStyle w:val="Appelnotedebasdep"/>
        </w:rPr>
        <w:footnoteRef/>
      </w:r>
      <w:r w:rsidRPr="00E927C0">
        <w:rPr>
          <w:lang w:val="fr-FR"/>
        </w:rPr>
        <w:t xml:space="preserve"> Direction de la prévision et des statistiques</w:t>
      </w:r>
    </w:p>
  </w:footnote>
  <w:footnote w:id="8">
    <w:p w:rsidR="004E0C38" w:rsidRPr="00662484" w:rsidRDefault="004E0C38" w:rsidP="00397C57">
      <w:pPr>
        <w:pStyle w:val="Notedebasdepage"/>
      </w:pPr>
      <w:r>
        <w:rPr>
          <w:rStyle w:val="Appelnotedebasdep"/>
        </w:rPr>
        <w:footnoteRef/>
      </w:r>
      <w:r w:rsidRPr="00662484">
        <w:t xml:space="preserve"> pilot experiments of Sococim company</w:t>
      </w:r>
    </w:p>
  </w:footnote>
  <w:footnote w:id="9">
    <w:p w:rsidR="004E0C38" w:rsidRPr="00E95013" w:rsidRDefault="004E0C38">
      <w:pPr>
        <w:pStyle w:val="Notedebasdepage"/>
      </w:pPr>
      <w:r>
        <w:rPr>
          <w:rStyle w:val="Appelnotedebasdep"/>
        </w:rPr>
        <w:footnoteRef/>
      </w:r>
      <w:r>
        <w:t xml:space="preserve"> </w:t>
      </w:r>
      <w:r w:rsidRPr="00E95013">
        <w:t>Transport services represent almos</w:t>
      </w:r>
      <w:r>
        <w:t>t</w:t>
      </w:r>
      <w:r w:rsidRPr="00E95013">
        <w:t xml:space="preserve"> 85% of tradable services </w:t>
      </w:r>
      <w:r>
        <w:t xml:space="preserve">in terms of refined petroleum </w:t>
      </w:r>
      <w:r w:rsidRPr="00E95013">
        <w:t xml:space="preserve">consumption.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27479F4"/>
    <w:lvl w:ilvl="0">
      <w:start w:val="1"/>
      <w:numFmt w:val="decimal"/>
      <w:lvlText w:val="%1."/>
      <w:lvlJc w:val="left"/>
      <w:pPr>
        <w:tabs>
          <w:tab w:val="num" w:pos="360"/>
        </w:tabs>
        <w:ind w:left="360" w:hanging="360"/>
      </w:pPr>
    </w:lvl>
  </w:abstractNum>
  <w:abstractNum w:abstractNumId="1">
    <w:nsid w:val="FFFFFF89"/>
    <w:multiLevelType w:val="singleLevel"/>
    <w:tmpl w:val="DE3EA96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26E731E"/>
    <w:multiLevelType w:val="hybridMultilevel"/>
    <w:tmpl w:val="40F43C82"/>
    <w:lvl w:ilvl="0" w:tplc="635C5D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17D7C"/>
    <w:multiLevelType w:val="multilevel"/>
    <w:tmpl w:val="CBAC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C10B5D"/>
    <w:multiLevelType w:val="hybridMultilevel"/>
    <w:tmpl w:val="9916521E"/>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
    <w:nsid w:val="2B840F54"/>
    <w:multiLevelType w:val="hybridMultilevel"/>
    <w:tmpl w:val="834EEB74"/>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nsid w:val="3C4F6DF4"/>
    <w:multiLevelType w:val="multilevel"/>
    <w:tmpl w:val="06E60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E5CEB"/>
    <w:multiLevelType w:val="hybridMultilevel"/>
    <w:tmpl w:val="5BAA0902"/>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576E6C3E"/>
    <w:multiLevelType w:val="multilevel"/>
    <w:tmpl w:val="CA00F1A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685F47"/>
    <w:multiLevelType w:val="hybridMultilevel"/>
    <w:tmpl w:val="D5EC398E"/>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nsid w:val="793A7996"/>
    <w:multiLevelType w:val="hybridMultilevel"/>
    <w:tmpl w:val="6F8EFF62"/>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9"/>
  </w:num>
  <w:num w:numId="5">
    <w:abstractNumId w:val="5"/>
  </w:num>
  <w:num w:numId="6">
    <w:abstractNumId w:val="1"/>
  </w:num>
  <w:num w:numId="7">
    <w:abstractNumId w:val="2"/>
  </w:num>
  <w:num w:numId="8">
    <w:abstractNumId w:val="8"/>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Z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GB" w:vendorID="64" w:dllVersion="131078" w:nlCheck="1" w:checkStyle="1"/>
  <w:defaultTabStop w:val="720"/>
  <w:hyphenationZone w:val="425"/>
  <w:noPunctuationKerning/>
  <w:characterSpacingControl w:val="doNotCompress"/>
  <w:footnotePr>
    <w:footnote w:id="0"/>
    <w:footnote w:id="1"/>
  </w:footnotePr>
  <w:endnotePr>
    <w:endnote w:id="0"/>
    <w:endnote w:id="1"/>
  </w:endnotePr>
  <w:compat/>
  <w:rsids>
    <w:rsidRoot w:val="002F62B0"/>
    <w:rsid w:val="00004629"/>
    <w:rsid w:val="000115EF"/>
    <w:rsid w:val="00015A99"/>
    <w:rsid w:val="00024150"/>
    <w:rsid w:val="00024503"/>
    <w:rsid w:val="00026F0D"/>
    <w:rsid w:val="00046891"/>
    <w:rsid w:val="00052877"/>
    <w:rsid w:val="00065A6B"/>
    <w:rsid w:val="00066069"/>
    <w:rsid w:val="00067BCB"/>
    <w:rsid w:val="00070E12"/>
    <w:rsid w:val="00081FD8"/>
    <w:rsid w:val="00087747"/>
    <w:rsid w:val="00094A24"/>
    <w:rsid w:val="00095CB0"/>
    <w:rsid w:val="000A1F08"/>
    <w:rsid w:val="000B13B7"/>
    <w:rsid w:val="000B1FD3"/>
    <w:rsid w:val="000B2380"/>
    <w:rsid w:val="000B2A4C"/>
    <w:rsid w:val="000B7339"/>
    <w:rsid w:val="000C041B"/>
    <w:rsid w:val="000C26DD"/>
    <w:rsid w:val="000C3840"/>
    <w:rsid w:val="000D3DE9"/>
    <w:rsid w:val="000E0410"/>
    <w:rsid w:val="000E0EB1"/>
    <w:rsid w:val="000E3A09"/>
    <w:rsid w:val="000F0FBB"/>
    <w:rsid w:val="000F2AF0"/>
    <w:rsid w:val="0010283D"/>
    <w:rsid w:val="001044D6"/>
    <w:rsid w:val="001050BA"/>
    <w:rsid w:val="00106054"/>
    <w:rsid w:val="001142C6"/>
    <w:rsid w:val="00117AF8"/>
    <w:rsid w:val="00122A3A"/>
    <w:rsid w:val="00125D7C"/>
    <w:rsid w:val="00133AE7"/>
    <w:rsid w:val="0013763F"/>
    <w:rsid w:val="00144862"/>
    <w:rsid w:val="0014614D"/>
    <w:rsid w:val="001476F0"/>
    <w:rsid w:val="001511F8"/>
    <w:rsid w:val="001549A5"/>
    <w:rsid w:val="0015602F"/>
    <w:rsid w:val="001574A2"/>
    <w:rsid w:val="00161087"/>
    <w:rsid w:val="001632C1"/>
    <w:rsid w:val="001727C5"/>
    <w:rsid w:val="00173B3C"/>
    <w:rsid w:val="00183C29"/>
    <w:rsid w:val="001962A9"/>
    <w:rsid w:val="0019651F"/>
    <w:rsid w:val="001A026A"/>
    <w:rsid w:val="001A1315"/>
    <w:rsid w:val="001A1C1B"/>
    <w:rsid w:val="001A2C46"/>
    <w:rsid w:val="001A5540"/>
    <w:rsid w:val="001B12C0"/>
    <w:rsid w:val="001C008F"/>
    <w:rsid w:val="001D3985"/>
    <w:rsid w:val="001E1215"/>
    <w:rsid w:val="001E3699"/>
    <w:rsid w:val="001E5D18"/>
    <w:rsid w:val="001E7A14"/>
    <w:rsid w:val="001F1E84"/>
    <w:rsid w:val="001F26C0"/>
    <w:rsid w:val="001F4B8C"/>
    <w:rsid w:val="00200ABA"/>
    <w:rsid w:val="00214250"/>
    <w:rsid w:val="00217013"/>
    <w:rsid w:val="00217B27"/>
    <w:rsid w:val="00217CAF"/>
    <w:rsid w:val="00222EBF"/>
    <w:rsid w:val="0022509A"/>
    <w:rsid w:val="00225882"/>
    <w:rsid w:val="00232648"/>
    <w:rsid w:val="00236942"/>
    <w:rsid w:val="002406A4"/>
    <w:rsid w:val="00242912"/>
    <w:rsid w:val="00244646"/>
    <w:rsid w:val="0025234E"/>
    <w:rsid w:val="00253101"/>
    <w:rsid w:val="00254F70"/>
    <w:rsid w:val="00265A4D"/>
    <w:rsid w:val="00266227"/>
    <w:rsid w:val="00270218"/>
    <w:rsid w:val="00277195"/>
    <w:rsid w:val="00287AA4"/>
    <w:rsid w:val="002914A9"/>
    <w:rsid w:val="00292850"/>
    <w:rsid w:val="00296A43"/>
    <w:rsid w:val="002A1236"/>
    <w:rsid w:val="002A1E00"/>
    <w:rsid w:val="002B20F3"/>
    <w:rsid w:val="002B44D3"/>
    <w:rsid w:val="002B5FA0"/>
    <w:rsid w:val="002B64B6"/>
    <w:rsid w:val="002B64CB"/>
    <w:rsid w:val="002B65AE"/>
    <w:rsid w:val="002C22C6"/>
    <w:rsid w:val="002C285A"/>
    <w:rsid w:val="002C2A70"/>
    <w:rsid w:val="002C6D30"/>
    <w:rsid w:val="002C7CE6"/>
    <w:rsid w:val="002D062B"/>
    <w:rsid w:val="002E5635"/>
    <w:rsid w:val="002E5BC5"/>
    <w:rsid w:val="002E7582"/>
    <w:rsid w:val="002F3FFD"/>
    <w:rsid w:val="002F62B0"/>
    <w:rsid w:val="00300107"/>
    <w:rsid w:val="00304F2F"/>
    <w:rsid w:val="00305578"/>
    <w:rsid w:val="003061FB"/>
    <w:rsid w:val="00311411"/>
    <w:rsid w:val="00314D8C"/>
    <w:rsid w:val="0031715F"/>
    <w:rsid w:val="00325C49"/>
    <w:rsid w:val="003357D3"/>
    <w:rsid w:val="003359BD"/>
    <w:rsid w:val="00350439"/>
    <w:rsid w:val="00362A07"/>
    <w:rsid w:val="0036302B"/>
    <w:rsid w:val="00364FE5"/>
    <w:rsid w:val="003706C2"/>
    <w:rsid w:val="00372ADB"/>
    <w:rsid w:val="003754D5"/>
    <w:rsid w:val="00384F49"/>
    <w:rsid w:val="00392482"/>
    <w:rsid w:val="003937D2"/>
    <w:rsid w:val="0039396D"/>
    <w:rsid w:val="00397C57"/>
    <w:rsid w:val="003A03C3"/>
    <w:rsid w:val="003B144A"/>
    <w:rsid w:val="003B337C"/>
    <w:rsid w:val="003B52C4"/>
    <w:rsid w:val="003D05F3"/>
    <w:rsid w:val="003D33C1"/>
    <w:rsid w:val="003D41DF"/>
    <w:rsid w:val="003E38B9"/>
    <w:rsid w:val="003F4EC3"/>
    <w:rsid w:val="003F5551"/>
    <w:rsid w:val="00401704"/>
    <w:rsid w:val="0040222B"/>
    <w:rsid w:val="00405190"/>
    <w:rsid w:val="00411D22"/>
    <w:rsid w:val="00414A28"/>
    <w:rsid w:val="00425103"/>
    <w:rsid w:val="00432597"/>
    <w:rsid w:val="00433212"/>
    <w:rsid w:val="00435C5B"/>
    <w:rsid w:val="00447955"/>
    <w:rsid w:val="00453C12"/>
    <w:rsid w:val="0045506B"/>
    <w:rsid w:val="00472B59"/>
    <w:rsid w:val="00475C58"/>
    <w:rsid w:val="00477FF6"/>
    <w:rsid w:val="004A2261"/>
    <w:rsid w:val="004B0ABC"/>
    <w:rsid w:val="004B4747"/>
    <w:rsid w:val="004C7C8B"/>
    <w:rsid w:val="004D13B7"/>
    <w:rsid w:val="004E0C38"/>
    <w:rsid w:val="004F7542"/>
    <w:rsid w:val="005012E7"/>
    <w:rsid w:val="00502DFC"/>
    <w:rsid w:val="00503121"/>
    <w:rsid w:val="00505257"/>
    <w:rsid w:val="005063AA"/>
    <w:rsid w:val="005162A3"/>
    <w:rsid w:val="00535A90"/>
    <w:rsid w:val="00541A0D"/>
    <w:rsid w:val="00541E47"/>
    <w:rsid w:val="00554022"/>
    <w:rsid w:val="00560691"/>
    <w:rsid w:val="00564670"/>
    <w:rsid w:val="00564906"/>
    <w:rsid w:val="00564A2A"/>
    <w:rsid w:val="0057295C"/>
    <w:rsid w:val="0057352F"/>
    <w:rsid w:val="00574E43"/>
    <w:rsid w:val="005758FA"/>
    <w:rsid w:val="00582312"/>
    <w:rsid w:val="00594ECB"/>
    <w:rsid w:val="00595C67"/>
    <w:rsid w:val="00597D14"/>
    <w:rsid w:val="005A0991"/>
    <w:rsid w:val="005A0A12"/>
    <w:rsid w:val="005A11B6"/>
    <w:rsid w:val="005A2C62"/>
    <w:rsid w:val="005A38CA"/>
    <w:rsid w:val="005B156B"/>
    <w:rsid w:val="005B2A0E"/>
    <w:rsid w:val="005B6BAE"/>
    <w:rsid w:val="005D21C1"/>
    <w:rsid w:val="005D5717"/>
    <w:rsid w:val="005D6761"/>
    <w:rsid w:val="005D785A"/>
    <w:rsid w:val="005F3224"/>
    <w:rsid w:val="00603CF3"/>
    <w:rsid w:val="006077C8"/>
    <w:rsid w:val="00612CB1"/>
    <w:rsid w:val="006148A5"/>
    <w:rsid w:val="0061509F"/>
    <w:rsid w:val="00615CF1"/>
    <w:rsid w:val="00623CC7"/>
    <w:rsid w:val="00623E48"/>
    <w:rsid w:val="00630BD9"/>
    <w:rsid w:val="00634DE3"/>
    <w:rsid w:val="00637085"/>
    <w:rsid w:val="00645023"/>
    <w:rsid w:val="00647B20"/>
    <w:rsid w:val="006505FE"/>
    <w:rsid w:val="006534A0"/>
    <w:rsid w:val="00662484"/>
    <w:rsid w:val="00662844"/>
    <w:rsid w:val="00667AF0"/>
    <w:rsid w:val="0067554A"/>
    <w:rsid w:val="006956E7"/>
    <w:rsid w:val="006A194B"/>
    <w:rsid w:val="006A3EE0"/>
    <w:rsid w:val="006A6CD5"/>
    <w:rsid w:val="006B6806"/>
    <w:rsid w:val="006B6D9D"/>
    <w:rsid w:val="006C1A07"/>
    <w:rsid w:val="006C72FF"/>
    <w:rsid w:val="006D0899"/>
    <w:rsid w:val="006D1D1D"/>
    <w:rsid w:val="006D2CA2"/>
    <w:rsid w:val="006E2054"/>
    <w:rsid w:val="006F0D1E"/>
    <w:rsid w:val="006F3A2C"/>
    <w:rsid w:val="006F4634"/>
    <w:rsid w:val="007009E2"/>
    <w:rsid w:val="00700CE1"/>
    <w:rsid w:val="0070604D"/>
    <w:rsid w:val="007107DE"/>
    <w:rsid w:val="00710EE1"/>
    <w:rsid w:val="00715CB9"/>
    <w:rsid w:val="0072606C"/>
    <w:rsid w:val="007348DD"/>
    <w:rsid w:val="007354A2"/>
    <w:rsid w:val="00737279"/>
    <w:rsid w:val="00737D4E"/>
    <w:rsid w:val="00744F83"/>
    <w:rsid w:val="00746810"/>
    <w:rsid w:val="00767F10"/>
    <w:rsid w:val="007724BE"/>
    <w:rsid w:val="00781A53"/>
    <w:rsid w:val="00781D7F"/>
    <w:rsid w:val="007856B4"/>
    <w:rsid w:val="007866A8"/>
    <w:rsid w:val="00790FAC"/>
    <w:rsid w:val="00792FA5"/>
    <w:rsid w:val="007932C0"/>
    <w:rsid w:val="007961F1"/>
    <w:rsid w:val="007A1CAB"/>
    <w:rsid w:val="007A68F2"/>
    <w:rsid w:val="007A7495"/>
    <w:rsid w:val="007A7679"/>
    <w:rsid w:val="007B6099"/>
    <w:rsid w:val="007C3F75"/>
    <w:rsid w:val="007C4A80"/>
    <w:rsid w:val="007C7A2F"/>
    <w:rsid w:val="007D2880"/>
    <w:rsid w:val="007E6E2D"/>
    <w:rsid w:val="007F5591"/>
    <w:rsid w:val="007F7584"/>
    <w:rsid w:val="00800557"/>
    <w:rsid w:val="00806CCB"/>
    <w:rsid w:val="0081341B"/>
    <w:rsid w:val="008135A3"/>
    <w:rsid w:val="008175ED"/>
    <w:rsid w:val="008257AD"/>
    <w:rsid w:val="008307E9"/>
    <w:rsid w:val="00830AE9"/>
    <w:rsid w:val="008311BC"/>
    <w:rsid w:val="00832A82"/>
    <w:rsid w:val="0084404C"/>
    <w:rsid w:val="00857672"/>
    <w:rsid w:val="0086116F"/>
    <w:rsid w:val="00865C78"/>
    <w:rsid w:val="008709F8"/>
    <w:rsid w:val="0087188B"/>
    <w:rsid w:val="00883229"/>
    <w:rsid w:val="008835EA"/>
    <w:rsid w:val="008939EC"/>
    <w:rsid w:val="00895D80"/>
    <w:rsid w:val="008A1A9A"/>
    <w:rsid w:val="008A2F6C"/>
    <w:rsid w:val="008A3DFC"/>
    <w:rsid w:val="008B20E0"/>
    <w:rsid w:val="008C4EEA"/>
    <w:rsid w:val="008D0138"/>
    <w:rsid w:val="008D13DC"/>
    <w:rsid w:val="008E263C"/>
    <w:rsid w:val="008E5EEB"/>
    <w:rsid w:val="008F4D2D"/>
    <w:rsid w:val="008F7EA9"/>
    <w:rsid w:val="00902663"/>
    <w:rsid w:val="009068A4"/>
    <w:rsid w:val="00917363"/>
    <w:rsid w:val="00924F08"/>
    <w:rsid w:val="00931EBC"/>
    <w:rsid w:val="0094626A"/>
    <w:rsid w:val="009466E5"/>
    <w:rsid w:val="009526B1"/>
    <w:rsid w:val="009628D7"/>
    <w:rsid w:val="0096432F"/>
    <w:rsid w:val="009644D9"/>
    <w:rsid w:val="00966B70"/>
    <w:rsid w:val="00971432"/>
    <w:rsid w:val="00971B81"/>
    <w:rsid w:val="00974DC2"/>
    <w:rsid w:val="00983A8A"/>
    <w:rsid w:val="00987027"/>
    <w:rsid w:val="009875E2"/>
    <w:rsid w:val="009B1C7B"/>
    <w:rsid w:val="009B3CC4"/>
    <w:rsid w:val="009B5407"/>
    <w:rsid w:val="009C2B7B"/>
    <w:rsid w:val="009D3668"/>
    <w:rsid w:val="009F04FE"/>
    <w:rsid w:val="00A10666"/>
    <w:rsid w:val="00A13EEE"/>
    <w:rsid w:val="00A15E5B"/>
    <w:rsid w:val="00A2210E"/>
    <w:rsid w:val="00A23BCE"/>
    <w:rsid w:val="00A26EE2"/>
    <w:rsid w:val="00A32EFD"/>
    <w:rsid w:val="00A41AB1"/>
    <w:rsid w:val="00A465A5"/>
    <w:rsid w:val="00A47FBB"/>
    <w:rsid w:val="00A50D3E"/>
    <w:rsid w:val="00A52BA7"/>
    <w:rsid w:val="00A57590"/>
    <w:rsid w:val="00A57854"/>
    <w:rsid w:val="00A65EDB"/>
    <w:rsid w:val="00A732E9"/>
    <w:rsid w:val="00A77829"/>
    <w:rsid w:val="00A85254"/>
    <w:rsid w:val="00A85D8B"/>
    <w:rsid w:val="00A86800"/>
    <w:rsid w:val="00A91F0E"/>
    <w:rsid w:val="00A92CC8"/>
    <w:rsid w:val="00AA31FA"/>
    <w:rsid w:val="00AA489E"/>
    <w:rsid w:val="00AB4D3A"/>
    <w:rsid w:val="00AC0691"/>
    <w:rsid w:val="00AC0DFF"/>
    <w:rsid w:val="00AC414F"/>
    <w:rsid w:val="00AC54BA"/>
    <w:rsid w:val="00AC5D36"/>
    <w:rsid w:val="00AC6493"/>
    <w:rsid w:val="00AD399D"/>
    <w:rsid w:val="00AD441A"/>
    <w:rsid w:val="00AD7765"/>
    <w:rsid w:val="00AE749B"/>
    <w:rsid w:val="00AF2A00"/>
    <w:rsid w:val="00B02175"/>
    <w:rsid w:val="00B065D9"/>
    <w:rsid w:val="00B22127"/>
    <w:rsid w:val="00B221E1"/>
    <w:rsid w:val="00B51445"/>
    <w:rsid w:val="00B536D4"/>
    <w:rsid w:val="00B53C48"/>
    <w:rsid w:val="00B575FE"/>
    <w:rsid w:val="00B61C30"/>
    <w:rsid w:val="00B64AE6"/>
    <w:rsid w:val="00B771A5"/>
    <w:rsid w:val="00B84098"/>
    <w:rsid w:val="00B8722E"/>
    <w:rsid w:val="00B87F21"/>
    <w:rsid w:val="00B9138D"/>
    <w:rsid w:val="00B942CE"/>
    <w:rsid w:val="00B9646C"/>
    <w:rsid w:val="00B97151"/>
    <w:rsid w:val="00BA1111"/>
    <w:rsid w:val="00BA4992"/>
    <w:rsid w:val="00BA659F"/>
    <w:rsid w:val="00BB7D54"/>
    <w:rsid w:val="00BC609F"/>
    <w:rsid w:val="00BC7235"/>
    <w:rsid w:val="00BD6DCC"/>
    <w:rsid w:val="00BD73B9"/>
    <w:rsid w:val="00BE362D"/>
    <w:rsid w:val="00BE36DB"/>
    <w:rsid w:val="00BF3D4B"/>
    <w:rsid w:val="00C04BE0"/>
    <w:rsid w:val="00C057DE"/>
    <w:rsid w:val="00C066D0"/>
    <w:rsid w:val="00C069A4"/>
    <w:rsid w:val="00C077C2"/>
    <w:rsid w:val="00C14492"/>
    <w:rsid w:val="00C1671D"/>
    <w:rsid w:val="00C17070"/>
    <w:rsid w:val="00C23E53"/>
    <w:rsid w:val="00C30F19"/>
    <w:rsid w:val="00C356CF"/>
    <w:rsid w:val="00C35DD8"/>
    <w:rsid w:val="00C45C36"/>
    <w:rsid w:val="00C47FDD"/>
    <w:rsid w:val="00C504CA"/>
    <w:rsid w:val="00C52CCA"/>
    <w:rsid w:val="00C55D01"/>
    <w:rsid w:val="00C60226"/>
    <w:rsid w:val="00C62385"/>
    <w:rsid w:val="00C64A11"/>
    <w:rsid w:val="00C65B74"/>
    <w:rsid w:val="00C7519E"/>
    <w:rsid w:val="00C9063F"/>
    <w:rsid w:val="00C962DC"/>
    <w:rsid w:val="00C96721"/>
    <w:rsid w:val="00C97E3A"/>
    <w:rsid w:val="00CA49D4"/>
    <w:rsid w:val="00CB0EEC"/>
    <w:rsid w:val="00CB149F"/>
    <w:rsid w:val="00CB18A8"/>
    <w:rsid w:val="00CB33A3"/>
    <w:rsid w:val="00CB6971"/>
    <w:rsid w:val="00CC07CD"/>
    <w:rsid w:val="00CC5D92"/>
    <w:rsid w:val="00CE0F60"/>
    <w:rsid w:val="00CE3470"/>
    <w:rsid w:val="00CF13F3"/>
    <w:rsid w:val="00D01F7F"/>
    <w:rsid w:val="00D03DA2"/>
    <w:rsid w:val="00D05738"/>
    <w:rsid w:val="00D21425"/>
    <w:rsid w:val="00D33806"/>
    <w:rsid w:val="00D36B09"/>
    <w:rsid w:val="00D37F05"/>
    <w:rsid w:val="00D40A7C"/>
    <w:rsid w:val="00D418A9"/>
    <w:rsid w:val="00D4272C"/>
    <w:rsid w:val="00D53CF6"/>
    <w:rsid w:val="00D54554"/>
    <w:rsid w:val="00D64596"/>
    <w:rsid w:val="00D65CDC"/>
    <w:rsid w:val="00D67DFE"/>
    <w:rsid w:val="00D703D1"/>
    <w:rsid w:val="00D707C3"/>
    <w:rsid w:val="00D73326"/>
    <w:rsid w:val="00D733A4"/>
    <w:rsid w:val="00D77306"/>
    <w:rsid w:val="00D807B7"/>
    <w:rsid w:val="00D83AD2"/>
    <w:rsid w:val="00D910E2"/>
    <w:rsid w:val="00D918EE"/>
    <w:rsid w:val="00D93117"/>
    <w:rsid w:val="00D93CA7"/>
    <w:rsid w:val="00DA0A9A"/>
    <w:rsid w:val="00DA3328"/>
    <w:rsid w:val="00DA70AE"/>
    <w:rsid w:val="00DA73F9"/>
    <w:rsid w:val="00DB2517"/>
    <w:rsid w:val="00DB2B36"/>
    <w:rsid w:val="00DB6489"/>
    <w:rsid w:val="00DC36D9"/>
    <w:rsid w:val="00DC4609"/>
    <w:rsid w:val="00DC6812"/>
    <w:rsid w:val="00DD1389"/>
    <w:rsid w:val="00DD4071"/>
    <w:rsid w:val="00DD4DF4"/>
    <w:rsid w:val="00DE2CC3"/>
    <w:rsid w:val="00DE3CAF"/>
    <w:rsid w:val="00DE484C"/>
    <w:rsid w:val="00DE7692"/>
    <w:rsid w:val="00E02A8A"/>
    <w:rsid w:val="00E05D53"/>
    <w:rsid w:val="00E0607D"/>
    <w:rsid w:val="00E06C1A"/>
    <w:rsid w:val="00E10B11"/>
    <w:rsid w:val="00E1478B"/>
    <w:rsid w:val="00E20403"/>
    <w:rsid w:val="00E33B13"/>
    <w:rsid w:val="00E3590D"/>
    <w:rsid w:val="00E366DD"/>
    <w:rsid w:val="00E42DAB"/>
    <w:rsid w:val="00E47891"/>
    <w:rsid w:val="00E5425D"/>
    <w:rsid w:val="00E56A5B"/>
    <w:rsid w:val="00E620C1"/>
    <w:rsid w:val="00E6246A"/>
    <w:rsid w:val="00E63571"/>
    <w:rsid w:val="00E66073"/>
    <w:rsid w:val="00E6702F"/>
    <w:rsid w:val="00E849E4"/>
    <w:rsid w:val="00E927C0"/>
    <w:rsid w:val="00E95013"/>
    <w:rsid w:val="00E96B10"/>
    <w:rsid w:val="00EA2911"/>
    <w:rsid w:val="00EA5635"/>
    <w:rsid w:val="00EB364A"/>
    <w:rsid w:val="00EB4F56"/>
    <w:rsid w:val="00EC05D4"/>
    <w:rsid w:val="00EE33F5"/>
    <w:rsid w:val="00EF5B1E"/>
    <w:rsid w:val="00F00875"/>
    <w:rsid w:val="00F01200"/>
    <w:rsid w:val="00F02A76"/>
    <w:rsid w:val="00F03E7D"/>
    <w:rsid w:val="00F200B7"/>
    <w:rsid w:val="00F32F47"/>
    <w:rsid w:val="00F35358"/>
    <w:rsid w:val="00F35A52"/>
    <w:rsid w:val="00F37CCE"/>
    <w:rsid w:val="00F60831"/>
    <w:rsid w:val="00F66F40"/>
    <w:rsid w:val="00F81953"/>
    <w:rsid w:val="00F84E07"/>
    <w:rsid w:val="00F93455"/>
    <w:rsid w:val="00F9425A"/>
    <w:rsid w:val="00FA342C"/>
    <w:rsid w:val="00FC2A9D"/>
    <w:rsid w:val="00FE0190"/>
    <w:rsid w:val="00FE35E1"/>
    <w:rsid w:val="00FF1D3B"/>
    <w:rsid w:val="00FF23B8"/>
    <w:rsid w:val="00FF3A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0E"/>
    <w:rPr>
      <w:sz w:val="24"/>
      <w:szCs w:val="24"/>
      <w:lang w:val="en-ZA" w:eastAsia="en-ZA"/>
    </w:rPr>
  </w:style>
  <w:style w:type="paragraph" w:styleId="Titre1">
    <w:name w:val="heading 1"/>
    <w:basedOn w:val="Normal"/>
    <w:next w:val="Normal"/>
    <w:qFormat/>
    <w:rsid w:val="00A91F0E"/>
    <w:pPr>
      <w:keepNext/>
      <w:spacing w:line="360" w:lineRule="auto"/>
      <w:jc w:val="center"/>
      <w:outlineLvl w:val="0"/>
    </w:pPr>
    <w:rPr>
      <w:b/>
      <w:szCs w:val="20"/>
      <w:lang w:eastAsia="en-US"/>
    </w:rPr>
  </w:style>
  <w:style w:type="paragraph" w:styleId="Titre2">
    <w:name w:val="heading 2"/>
    <w:basedOn w:val="Normal"/>
    <w:next w:val="Normal"/>
    <w:qFormat/>
    <w:rsid w:val="00A91F0E"/>
    <w:pPr>
      <w:keepNext/>
      <w:spacing w:line="360" w:lineRule="auto"/>
      <w:outlineLvl w:val="1"/>
    </w:pPr>
    <w:rPr>
      <w:rFonts w:cs="Arial"/>
      <w:b/>
      <w:bCs/>
      <w:iCs/>
      <w:szCs w:val="28"/>
    </w:rPr>
  </w:style>
  <w:style w:type="paragraph" w:styleId="Titre3">
    <w:name w:val="heading 3"/>
    <w:basedOn w:val="Normal"/>
    <w:next w:val="Normal"/>
    <w:qFormat/>
    <w:rsid w:val="00A91F0E"/>
    <w:pPr>
      <w:keepNext/>
      <w:spacing w:line="360" w:lineRule="auto"/>
      <w:outlineLvl w:val="2"/>
    </w:pPr>
    <w:rPr>
      <w:rFonts w:cs="Arial"/>
      <w:b/>
      <w:bCs/>
      <w:szCs w:val="26"/>
    </w:rPr>
  </w:style>
  <w:style w:type="paragraph" w:styleId="Titre4">
    <w:name w:val="heading 4"/>
    <w:basedOn w:val="Normal"/>
    <w:next w:val="Normal"/>
    <w:qFormat/>
    <w:rsid w:val="00A91F0E"/>
    <w:pPr>
      <w:keepNext/>
      <w:jc w:val="center"/>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
    <w:basedOn w:val="Normal"/>
    <w:link w:val="NotedebasdepageCar"/>
    <w:uiPriority w:val="99"/>
    <w:semiHidden/>
    <w:rsid w:val="00A91F0E"/>
    <w:rPr>
      <w:sz w:val="20"/>
      <w:szCs w:val="20"/>
      <w:lang w:val="en-US" w:eastAsia="en-US"/>
    </w:rPr>
  </w:style>
  <w:style w:type="character" w:styleId="Appelnotedebasdep">
    <w:name w:val="footnote reference"/>
    <w:basedOn w:val="Policepardfaut"/>
    <w:uiPriority w:val="99"/>
    <w:semiHidden/>
    <w:rsid w:val="00A91F0E"/>
    <w:rPr>
      <w:vertAlign w:val="superscript"/>
    </w:rPr>
  </w:style>
  <w:style w:type="paragraph" w:styleId="TM1">
    <w:name w:val="toc 1"/>
    <w:basedOn w:val="Normal"/>
    <w:next w:val="Normal"/>
    <w:autoRedefine/>
    <w:uiPriority w:val="39"/>
    <w:rsid w:val="00A91F0E"/>
  </w:style>
  <w:style w:type="paragraph" w:styleId="Pieddepage">
    <w:name w:val="footer"/>
    <w:basedOn w:val="Normal"/>
    <w:semiHidden/>
    <w:rsid w:val="00A91F0E"/>
    <w:pPr>
      <w:tabs>
        <w:tab w:val="center" w:pos="4153"/>
        <w:tab w:val="right" w:pos="8306"/>
      </w:tabs>
    </w:pPr>
  </w:style>
  <w:style w:type="character" w:styleId="Numrodepage">
    <w:name w:val="page number"/>
    <w:basedOn w:val="Policepardfaut"/>
    <w:semiHidden/>
    <w:rsid w:val="00A91F0E"/>
  </w:style>
  <w:style w:type="character" w:customStyle="1" w:styleId="Heading1Char">
    <w:name w:val="Heading 1 Char"/>
    <w:basedOn w:val="Policepardfaut"/>
    <w:rsid w:val="00A91F0E"/>
    <w:rPr>
      <w:b/>
      <w:sz w:val="24"/>
      <w:lang w:val="en-ZA" w:eastAsia="en-US" w:bidi="ar-SA"/>
    </w:rPr>
  </w:style>
  <w:style w:type="paragraph" w:styleId="TM2">
    <w:name w:val="toc 2"/>
    <w:basedOn w:val="Normal"/>
    <w:next w:val="Normal"/>
    <w:autoRedefine/>
    <w:uiPriority w:val="39"/>
    <w:rsid w:val="00A91F0E"/>
    <w:pPr>
      <w:ind w:left="240"/>
    </w:pPr>
  </w:style>
  <w:style w:type="paragraph" w:styleId="TM3">
    <w:name w:val="toc 3"/>
    <w:basedOn w:val="Normal"/>
    <w:next w:val="Normal"/>
    <w:autoRedefine/>
    <w:uiPriority w:val="39"/>
    <w:rsid w:val="00A91F0E"/>
    <w:pPr>
      <w:ind w:left="480"/>
    </w:pPr>
  </w:style>
  <w:style w:type="character" w:styleId="Lienhypertexte">
    <w:name w:val="Hyperlink"/>
    <w:basedOn w:val="Policepardfaut"/>
    <w:uiPriority w:val="99"/>
    <w:rsid w:val="00A91F0E"/>
    <w:rPr>
      <w:color w:val="0000FF"/>
      <w:u w:val="single"/>
    </w:rPr>
  </w:style>
  <w:style w:type="paragraph" w:styleId="Corpsdetexte">
    <w:name w:val="Body Text"/>
    <w:basedOn w:val="Normal"/>
    <w:semiHidden/>
    <w:rsid w:val="00A91F0E"/>
    <w:pPr>
      <w:spacing w:line="360" w:lineRule="auto"/>
      <w:jc w:val="both"/>
    </w:pPr>
  </w:style>
  <w:style w:type="paragraph" w:styleId="Textedebulles">
    <w:name w:val="Balloon Text"/>
    <w:basedOn w:val="Normal"/>
    <w:semiHidden/>
    <w:rsid w:val="00A91F0E"/>
    <w:rPr>
      <w:rFonts w:ascii="Tahoma" w:hAnsi="Tahoma" w:cs="Tahoma"/>
      <w:sz w:val="16"/>
      <w:szCs w:val="16"/>
    </w:rPr>
  </w:style>
  <w:style w:type="character" w:styleId="Marquedecommentaire">
    <w:name w:val="annotation reference"/>
    <w:basedOn w:val="Policepardfaut"/>
    <w:uiPriority w:val="99"/>
    <w:semiHidden/>
    <w:unhideWhenUsed/>
    <w:rsid w:val="00D77306"/>
    <w:rPr>
      <w:sz w:val="16"/>
      <w:szCs w:val="16"/>
    </w:rPr>
  </w:style>
  <w:style w:type="paragraph" w:styleId="Commentaire">
    <w:name w:val="annotation text"/>
    <w:basedOn w:val="Normal"/>
    <w:link w:val="CommentaireCar"/>
    <w:uiPriority w:val="99"/>
    <w:unhideWhenUsed/>
    <w:rsid w:val="00D77306"/>
    <w:rPr>
      <w:sz w:val="20"/>
      <w:szCs w:val="20"/>
    </w:rPr>
  </w:style>
  <w:style w:type="character" w:customStyle="1" w:styleId="CommentaireCar">
    <w:name w:val="Commentaire Car"/>
    <w:basedOn w:val="Policepardfaut"/>
    <w:link w:val="Commentaire"/>
    <w:uiPriority w:val="99"/>
    <w:rsid w:val="00D77306"/>
    <w:rPr>
      <w:lang w:val="en-ZA" w:eastAsia="en-ZA"/>
    </w:rPr>
  </w:style>
  <w:style w:type="paragraph" w:styleId="Objetducommentaire">
    <w:name w:val="annotation subject"/>
    <w:basedOn w:val="Commentaire"/>
    <w:next w:val="Commentaire"/>
    <w:link w:val="ObjetducommentaireCar"/>
    <w:uiPriority w:val="99"/>
    <w:semiHidden/>
    <w:unhideWhenUsed/>
    <w:rsid w:val="00D77306"/>
    <w:rPr>
      <w:b/>
      <w:bCs/>
    </w:rPr>
  </w:style>
  <w:style w:type="character" w:customStyle="1" w:styleId="ObjetducommentaireCar">
    <w:name w:val="Objet du commentaire Car"/>
    <w:basedOn w:val="CommentaireCar"/>
    <w:link w:val="Objetducommentaire"/>
    <w:uiPriority w:val="99"/>
    <w:semiHidden/>
    <w:rsid w:val="00D77306"/>
    <w:rPr>
      <w:b/>
      <w:bCs/>
    </w:rPr>
  </w:style>
  <w:style w:type="paragraph" w:styleId="Listepuces">
    <w:name w:val="List Bullet"/>
    <w:basedOn w:val="Normal"/>
    <w:uiPriority w:val="99"/>
    <w:unhideWhenUsed/>
    <w:rsid w:val="00292850"/>
    <w:pPr>
      <w:numPr>
        <w:numId w:val="6"/>
      </w:numPr>
      <w:contextualSpacing/>
    </w:pPr>
  </w:style>
  <w:style w:type="paragraph" w:styleId="Paragraphedeliste">
    <w:name w:val="List Paragraph"/>
    <w:basedOn w:val="Normal"/>
    <w:uiPriority w:val="34"/>
    <w:qFormat/>
    <w:rsid w:val="00BE362D"/>
    <w:pPr>
      <w:ind w:left="720"/>
      <w:contextualSpacing/>
    </w:pPr>
  </w:style>
  <w:style w:type="paragraph" w:styleId="NormalWeb">
    <w:name w:val="Normal (Web)"/>
    <w:basedOn w:val="Normal"/>
    <w:rsid w:val="00DB6489"/>
    <w:pPr>
      <w:spacing w:before="100" w:beforeAutospacing="1" w:after="100" w:afterAutospacing="1"/>
    </w:pPr>
    <w:rPr>
      <w:lang w:val="fr-CA" w:eastAsia="fr-CA"/>
    </w:rPr>
  </w:style>
  <w:style w:type="character" w:customStyle="1" w:styleId="longtext">
    <w:name w:val="long_text"/>
    <w:basedOn w:val="Policepardfaut"/>
    <w:uiPriority w:val="99"/>
    <w:rsid w:val="00D36B09"/>
  </w:style>
  <w:style w:type="character" w:customStyle="1" w:styleId="gt-icon-text1">
    <w:name w:val="gt-icon-text1"/>
    <w:basedOn w:val="Policepardfaut"/>
    <w:rsid w:val="00D36B09"/>
  </w:style>
  <w:style w:type="character" w:customStyle="1" w:styleId="hps">
    <w:name w:val="hps"/>
    <w:basedOn w:val="Policepardfaut"/>
    <w:rsid w:val="00C069A4"/>
  </w:style>
  <w:style w:type="character" w:customStyle="1" w:styleId="NotedebasdepageCar">
    <w:name w:val="Note de bas de page Car"/>
    <w:aliases w:val="Footnote Text1 Car"/>
    <w:basedOn w:val="Policepardfaut"/>
    <w:link w:val="Notedebasdepage"/>
    <w:uiPriority w:val="99"/>
    <w:semiHidden/>
    <w:rsid w:val="000B7339"/>
  </w:style>
  <w:style w:type="paragraph" w:customStyle="1" w:styleId="Default">
    <w:name w:val="Default"/>
    <w:rsid w:val="005B2A0E"/>
    <w:pPr>
      <w:autoSpaceDE w:val="0"/>
      <w:autoSpaceDN w:val="0"/>
      <w:adjustRightInd w:val="0"/>
    </w:pPr>
    <w:rPr>
      <w:rFonts w:eastAsiaTheme="minorHAnsi"/>
      <w:color w:val="000000"/>
      <w:sz w:val="24"/>
      <w:szCs w:val="24"/>
    </w:rPr>
  </w:style>
  <w:style w:type="paragraph" w:styleId="Sous-titre">
    <w:name w:val="Subtitle"/>
    <w:basedOn w:val="Normal"/>
    <w:link w:val="Sous-titreCar"/>
    <w:uiPriority w:val="99"/>
    <w:qFormat/>
    <w:rsid w:val="008307E9"/>
    <w:rPr>
      <w:b/>
      <w:bCs/>
      <w:lang w:val="fr-FR" w:eastAsia="fr-FR"/>
    </w:rPr>
  </w:style>
  <w:style w:type="character" w:customStyle="1" w:styleId="Sous-titreCar">
    <w:name w:val="Sous-titre Car"/>
    <w:basedOn w:val="Policepardfaut"/>
    <w:link w:val="Sous-titre"/>
    <w:uiPriority w:val="99"/>
    <w:rsid w:val="008307E9"/>
    <w:rPr>
      <w:b/>
      <w:bCs/>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02725874">
      <w:bodyDiv w:val="1"/>
      <w:marLeft w:val="0"/>
      <w:marRight w:val="0"/>
      <w:marTop w:val="0"/>
      <w:marBottom w:val="0"/>
      <w:divBdr>
        <w:top w:val="none" w:sz="0" w:space="0" w:color="auto"/>
        <w:left w:val="none" w:sz="0" w:space="0" w:color="auto"/>
        <w:bottom w:val="none" w:sz="0" w:space="0" w:color="auto"/>
        <w:right w:val="none" w:sz="0" w:space="0" w:color="auto"/>
      </w:divBdr>
      <w:divsChild>
        <w:div w:id="65954746">
          <w:marLeft w:val="0"/>
          <w:marRight w:val="0"/>
          <w:marTop w:val="0"/>
          <w:marBottom w:val="0"/>
          <w:divBdr>
            <w:top w:val="none" w:sz="0" w:space="0" w:color="auto"/>
            <w:left w:val="none" w:sz="0" w:space="0" w:color="auto"/>
            <w:bottom w:val="none" w:sz="0" w:space="0" w:color="auto"/>
            <w:right w:val="none" w:sz="0" w:space="0" w:color="auto"/>
          </w:divBdr>
          <w:divsChild>
            <w:div w:id="1897692659">
              <w:marLeft w:val="0"/>
              <w:marRight w:val="0"/>
              <w:marTop w:val="0"/>
              <w:marBottom w:val="0"/>
              <w:divBdr>
                <w:top w:val="none" w:sz="0" w:space="0" w:color="auto"/>
                <w:left w:val="none" w:sz="0" w:space="0" w:color="auto"/>
                <w:bottom w:val="none" w:sz="0" w:space="0" w:color="auto"/>
                <w:right w:val="none" w:sz="0" w:space="0" w:color="auto"/>
              </w:divBdr>
              <w:divsChild>
                <w:div w:id="1481338707">
                  <w:marLeft w:val="0"/>
                  <w:marRight w:val="0"/>
                  <w:marTop w:val="0"/>
                  <w:marBottom w:val="0"/>
                  <w:divBdr>
                    <w:top w:val="none" w:sz="0" w:space="0" w:color="auto"/>
                    <w:left w:val="none" w:sz="0" w:space="0" w:color="auto"/>
                    <w:bottom w:val="none" w:sz="0" w:space="0" w:color="auto"/>
                    <w:right w:val="none" w:sz="0" w:space="0" w:color="auto"/>
                  </w:divBdr>
                  <w:divsChild>
                    <w:div w:id="342628643">
                      <w:marLeft w:val="0"/>
                      <w:marRight w:val="0"/>
                      <w:marTop w:val="0"/>
                      <w:marBottom w:val="0"/>
                      <w:divBdr>
                        <w:top w:val="none" w:sz="0" w:space="0" w:color="auto"/>
                        <w:left w:val="none" w:sz="0" w:space="0" w:color="auto"/>
                        <w:bottom w:val="none" w:sz="0" w:space="0" w:color="auto"/>
                        <w:right w:val="none" w:sz="0" w:space="0" w:color="auto"/>
                      </w:divBdr>
                      <w:divsChild>
                        <w:div w:id="306131064">
                          <w:marLeft w:val="0"/>
                          <w:marRight w:val="0"/>
                          <w:marTop w:val="0"/>
                          <w:marBottom w:val="0"/>
                          <w:divBdr>
                            <w:top w:val="none" w:sz="0" w:space="0" w:color="auto"/>
                            <w:left w:val="none" w:sz="0" w:space="0" w:color="auto"/>
                            <w:bottom w:val="none" w:sz="0" w:space="0" w:color="auto"/>
                            <w:right w:val="none" w:sz="0" w:space="0" w:color="auto"/>
                          </w:divBdr>
                          <w:divsChild>
                            <w:div w:id="820199820">
                              <w:marLeft w:val="0"/>
                              <w:marRight w:val="0"/>
                              <w:marTop w:val="0"/>
                              <w:marBottom w:val="0"/>
                              <w:divBdr>
                                <w:top w:val="none" w:sz="0" w:space="0" w:color="auto"/>
                                <w:left w:val="none" w:sz="0" w:space="0" w:color="auto"/>
                                <w:bottom w:val="none" w:sz="0" w:space="0" w:color="auto"/>
                                <w:right w:val="none" w:sz="0" w:space="0" w:color="auto"/>
                              </w:divBdr>
                              <w:divsChild>
                                <w:div w:id="750933563">
                                  <w:marLeft w:val="0"/>
                                  <w:marRight w:val="0"/>
                                  <w:marTop w:val="0"/>
                                  <w:marBottom w:val="0"/>
                                  <w:divBdr>
                                    <w:top w:val="none" w:sz="0" w:space="0" w:color="auto"/>
                                    <w:left w:val="none" w:sz="0" w:space="0" w:color="auto"/>
                                    <w:bottom w:val="none" w:sz="0" w:space="0" w:color="auto"/>
                                    <w:right w:val="none" w:sz="0" w:space="0" w:color="auto"/>
                                  </w:divBdr>
                                </w:div>
                              </w:divsChild>
                            </w:div>
                            <w:div w:id="1373076512">
                              <w:marLeft w:val="0"/>
                              <w:marRight w:val="0"/>
                              <w:marTop w:val="278"/>
                              <w:marBottom w:val="0"/>
                              <w:divBdr>
                                <w:top w:val="none" w:sz="0" w:space="0" w:color="auto"/>
                                <w:left w:val="none" w:sz="0" w:space="0" w:color="auto"/>
                                <w:bottom w:val="none" w:sz="0" w:space="0" w:color="auto"/>
                                <w:right w:val="none" w:sz="0" w:space="0" w:color="auto"/>
                              </w:divBdr>
                              <w:divsChild>
                                <w:div w:id="988830719">
                                  <w:marLeft w:val="0"/>
                                  <w:marRight w:val="240"/>
                                  <w:marTop w:val="0"/>
                                  <w:marBottom w:val="0"/>
                                  <w:divBdr>
                                    <w:top w:val="none" w:sz="0" w:space="0" w:color="auto"/>
                                    <w:left w:val="none" w:sz="0" w:space="0" w:color="auto"/>
                                    <w:bottom w:val="none" w:sz="0" w:space="0" w:color="auto"/>
                                    <w:right w:val="none" w:sz="0" w:space="0" w:color="auto"/>
                                  </w:divBdr>
                                </w:div>
                                <w:div w:id="1981763545">
                                  <w:marLeft w:val="0"/>
                                  <w:marRight w:val="240"/>
                                  <w:marTop w:val="0"/>
                                  <w:marBottom w:val="0"/>
                                  <w:divBdr>
                                    <w:top w:val="none" w:sz="0" w:space="0" w:color="auto"/>
                                    <w:left w:val="none" w:sz="0" w:space="0" w:color="auto"/>
                                    <w:bottom w:val="none" w:sz="0" w:space="0" w:color="auto"/>
                                    <w:right w:val="none" w:sz="0" w:space="0" w:color="auto"/>
                                  </w:divBdr>
                                </w:div>
                              </w:divsChild>
                            </w:div>
                            <w:div w:id="101805465">
                              <w:marLeft w:val="0"/>
                              <w:marRight w:val="0"/>
                              <w:marTop w:val="0"/>
                              <w:marBottom w:val="0"/>
                              <w:divBdr>
                                <w:top w:val="none" w:sz="0" w:space="0" w:color="auto"/>
                                <w:left w:val="none" w:sz="0" w:space="0" w:color="auto"/>
                                <w:bottom w:val="none" w:sz="0" w:space="0" w:color="auto"/>
                                <w:right w:val="none" w:sz="0" w:space="0" w:color="auto"/>
                              </w:divBdr>
                            </w:div>
                            <w:div w:id="6774650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1535">
      <w:bodyDiv w:val="1"/>
      <w:marLeft w:val="0"/>
      <w:marRight w:val="0"/>
      <w:marTop w:val="0"/>
      <w:marBottom w:val="0"/>
      <w:divBdr>
        <w:top w:val="none" w:sz="0" w:space="0" w:color="auto"/>
        <w:left w:val="none" w:sz="0" w:space="0" w:color="auto"/>
        <w:bottom w:val="none" w:sz="0" w:space="0" w:color="auto"/>
        <w:right w:val="none" w:sz="0" w:space="0" w:color="auto"/>
      </w:divBdr>
    </w:div>
    <w:div w:id="200020486">
      <w:bodyDiv w:val="1"/>
      <w:marLeft w:val="0"/>
      <w:marRight w:val="0"/>
      <w:marTop w:val="0"/>
      <w:marBottom w:val="0"/>
      <w:divBdr>
        <w:top w:val="none" w:sz="0" w:space="0" w:color="auto"/>
        <w:left w:val="none" w:sz="0" w:space="0" w:color="auto"/>
        <w:bottom w:val="none" w:sz="0" w:space="0" w:color="auto"/>
        <w:right w:val="none" w:sz="0" w:space="0" w:color="auto"/>
      </w:divBdr>
    </w:div>
    <w:div w:id="279578171">
      <w:bodyDiv w:val="1"/>
      <w:marLeft w:val="0"/>
      <w:marRight w:val="0"/>
      <w:marTop w:val="0"/>
      <w:marBottom w:val="0"/>
      <w:divBdr>
        <w:top w:val="none" w:sz="0" w:space="0" w:color="auto"/>
        <w:left w:val="none" w:sz="0" w:space="0" w:color="auto"/>
        <w:bottom w:val="none" w:sz="0" w:space="0" w:color="auto"/>
        <w:right w:val="none" w:sz="0" w:space="0" w:color="auto"/>
      </w:divBdr>
    </w:div>
    <w:div w:id="320695661">
      <w:bodyDiv w:val="1"/>
      <w:marLeft w:val="0"/>
      <w:marRight w:val="0"/>
      <w:marTop w:val="0"/>
      <w:marBottom w:val="0"/>
      <w:divBdr>
        <w:top w:val="none" w:sz="0" w:space="0" w:color="auto"/>
        <w:left w:val="none" w:sz="0" w:space="0" w:color="auto"/>
        <w:bottom w:val="none" w:sz="0" w:space="0" w:color="auto"/>
        <w:right w:val="none" w:sz="0" w:space="0" w:color="auto"/>
      </w:divBdr>
    </w:div>
    <w:div w:id="363360922">
      <w:bodyDiv w:val="1"/>
      <w:marLeft w:val="0"/>
      <w:marRight w:val="0"/>
      <w:marTop w:val="0"/>
      <w:marBottom w:val="0"/>
      <w:divBdr>
        <w:top w:val="none" w:sz="0" w:space="0" w:color="auto"/>
        <w:left w:val="none" w:sz="0" w:space="0" w:color="auto"/>
        <w:bottom w:val="none" w:sz="0" w:space="0" w:color="auto"/>
        <w:right w:val="none" w:sz="0" w:space="0" w:color="auto"/>
      </w:divBdr>
    </w:div>
    <w:div w:id="433719461">
      <w:bodyDiv w:val="1"/>
      <w:marLeft w:val="0"/>
      <w:marRight w:val="0"/>
      <w:marTop w:val="0"/>
      <w:marBottom w:val="0"/>
      <w:divBdr>
        <w:top w:val="none" w:sz="0" w:space="0" w:color="auto"/>
        <w:left w:val="none" w:sz="0" w:space="0" w:color="auto"/>
        <w:bottom w:val="none" w:sz="0" w:space="0" w:color="auto"/>
        <w:right w:val="none" w:sz="0" w:space="0" w:color="auto"/>
      </w:divBdr>
      <w:divsChild>
        <w:div w:id="430470970">
          <w:marLeft w:val="0"/>
          <w:marRight w:val="0"/>
          <w:marTop w:val="0"/>
          <w:marBottom w:val="0"/>
          <w:divBdr>
            <w:top w:val="none" w:sz="0" w:space="0" w:color="auto"/>
            <w:left w:val="none" w:sz="0" w:space="0" w:color="auto"/>
            <w:bottom w:val="none" w:sz="0" w:space="0" w:color="auto"/>
            <w:right w:val="none" w:sz="0" w:space="0" w:color="auto"/>
          </w:divBdr>
          <w:divsChild>
            <w:div w:id="1635482476">
              <w:marLeft w:val="0"/>
              <w:marRight w:val="0"/>
              <w:marTop w:val="0"/>
              <w:marBottom w:val="0"/>
              <w:divBdr>
                <w:top w:val="none" w:sz="0" w:space="0" w:color="auto"/>
                <w:left w:val="none" w:sz="0" w:space="0" w:color="auto"/>
                <w:bottom w:val="none" w:sz="0" w:space="0" w:color="auto"/>
                <w:right w:val="none" w:sz="0" w:space="0" w:color="auto"/>
              </w:divBdr>
              <w:divsChild>
                <w:div w:id="1100953910">
                  <w:marLeft w:val="0"/>
                  <w:marRight w:val="0"/>
                  <w:marTop w:val="0"/>
                  <w:marBottom w:val="0"/>
                  <w:divBdr>
                    <w:top w:val="none" w:sz="0" w:space="0" w:color="auto"/>
                    <w:left w:val="none" w:sz="0" w:space="0" w:color="auto"/>
                    <w:bottom w:val="none" w:sz="0" w:space="0" w:color="auto"/>
                    <w:right w:val="none" w:sz="0" w:space="0" w:color="auto"/>
                  </w:divBdr>
                  <w:divsChild>
                    <w:div w:id="877666461">
                      <w:marLeft w:val="0"/>
                      <w:marRight w:val="0"/>
                      <w:marTop w:val="0"/>
                      <w:marBottom w:val="0"/>
                      <w:divBdr>
                        <w:top w:val="none" w:sz="0" w:space="0" w:color="auto"/>
                        <w:left w:val="none" w:sz="0" w:space="0" w:color="auto"/>
                        <w:bottom w:val="none" w:sz="0" w:space="0" w:color="auto"/>
                        <w:right w:val="none" w:sz="0" w:space="0" w:color="auto"/>
                      </w:divBdr>
                      <w:divsChild>
                        <w:div w:id="96828319">
                          <w:marLeft w:val="0"/>
                          <w:marRight w:val="0"/>
                          <w:marTop w:val="0"/>
                          <w:marBottom w:val="0"/>
                          <w:divBdr>
                            <w:top w:val="none" w:sz="0" w:space="0" w:color="auto"/>
                            <w:left w:val="none" w:sz="0" w:space="0" w:color="auto"/>
                            <w:bottom w:val="none" w:sz="0" w:space="0" w:color="auto"/>
                            <w:right w:val="none" w:sz="0" w:space="0" w:color="auto"/>
                          </w:divBdr>
                          <w:divsChild>
                            <w:div w:id="341710586">
                              <w:marLeft w:val="0"/>
                              <w:marRight w:val="0"/>
                              <w:marTop w:val="0"/>
                              <w:marBottom w:val="0"/>
                              <w:divBdr>
                                <w:top w:val="none" w:sz="0" w:space="0" w:color="auto"/>
                                <w:left w:val="none" w:sz="0" w:space="0" w:color="auto"/>
                                <w:bottom w:val="none" w:sz="0" w:space="0" w:color="auto"/>
                                <w:right w:val="none" w:sz="0" w:space="0" w:color="auto"/>
                              </w:divBdr>
                              <w:divsChild>
                                <w:div w:id="973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90296">
      <w:bodyDiv w:val="1"/>
      <w:marLeft w:val="0"/>
      <w:marRight w:val="0"/>
      <w:marTop w:val="0"/>
      <w:marBottom w:val="0"/>
      <w:divBdr>
        <w:top w:val="none" w:sz="0" w:space="0" w:color="auto"/>
        <w:left w:val="none" w:sz="0" w:space="0" w:color="auto"/>
        <w:bottom w:val="none" w:sz="0" w:space="0" w:color="auto"/>
        <w:right w:val="none" w:sz="0" w:space="0" w:color="auto"/>
      </w:divBdr>
    </w:div>
    <w:div w:id="485781568">
      <w:bodyDiv w:val="1"/>
      <w:marLeft w:val="0"/>
      <w:marRight w:val="0"/>
      <w:marTop w:val="0"/>
      <w:marBottom w:val="0"/>
      <w:divBdr>
        <w:top w:val="none" w:sz="0" w:space="0" w:color="auto"/>
        <w:left w:val="none" w:sz="0" w:space="0" w:color="auto"/>
        <w:bottom w:val="none" w:sz="0" w:space="0" w:color="auto"/>
        <w:right w:val="none" w:sz="0" w:space="0" w:color="auto"/>
      </w:divBdr>
    </w:div>
    <w:div w:id="648630981">
      <w:bodyDiv w:val="1"/>
      <w:marLeft w:val="0"/>
      <w:marRight w:val="0"/>
      <w:marTop w:val="0"/>
      <w:marBottom w:val="0"/>
      <w:divBdr>
        <w:top w:val="none" w:sz="0" w:space="0" w:color="auto"/>
        <w:left w:val="none" w:sz="0" w:space="0" w:color="auto"/>
        <w:bottom w:val="none" w:sz="0" w:space="0" w:color="auto"/>
        <w:right w:val="none" w:sz="0" w:space="0" w:color="auto"/>
      </w:divBdr>
    </w:div>
    <w:div w:id="730737185">
      <w:bodyDiv w:val="1"/>
      <w:marLeft w:val="0"/>
      <w:marRight w:val="0"/>
      <w:marTop w:val="0"/>
      <w:marBottom w:val="0"/>
      <w:divBdr>
        <w:top w:val="none" w:sz="0" w:space="0" w:color="auto"/>
        <w:left w:val="none" w:sz="0" w:space="0" w:color="auto"/>
        <w:bottom w:val="none" w:sz="0" w:space="0" w:color="auto"/>
        <w:right w:val="none" w:sz="0" w:space="0" w:color="auto"/>
      </w:divBdr>
    </w:div>
    <w:div w:id="750586919">
      <w:bodyDiv w:val="1"/>
      <w:marLeft w:val="0"/>
      <w:marRight w:val="0"/>
      <w:marTop w:val="0"/>
      <w:marBottom w:val="0"/>
      <w:divBdr>
        <w:top w:val="none" w:sz="0" w:space="0" w:color="auto"/>
        <w:left w:val="none" w:sz="0" w:space="0" w:color="auto"/>
        <w:bottom w:val="none" w:sz="0" w:space="0" w:color="auto"/>
        <w:right w:val="none" w:sz="0" w:space="0" w:color="auto"/>
      </w:divBdr>
      <w:divsChild>
        <w:div w:id="532962432">
          <w:marLeft w:val="0"/>
          <w:marRight w:val="0"/>
          <w:marTop w:val="0"/>
          <w:marBottom w:val="0"/>
          <w:divBdr>
            <w:top w:val="none" w:sz="0" w:space="0" w:color="auto"/>
            <w:left w:val="none" w:sz="0" w:space="0" w:color="auto"/>
            <w:bottom w:val="none" w:sz="0" w:space="0" w:color="auto"/>
            <w:right w:val="none" w:sz="0" w:space="0" w:color="auto"/>
          </w:divBdr>
          <w:divsChild>
            <w:div w:id="73279878">
              <w:marLeft w:val="0"/>
              <w:marRight w:val="0"/>
              <w:marTop w:val="0"/>
              <w:marBottom w:val="0"/>
              <w:divBdr>
                <w:top w:val="none" w:sz="0" w:space="0" w:color="auto"/>
                <w:left w:val="none" w:sz="0" w:space="0" w:color="auto"/>
                <w:bottom w:val="none" w:sz="0" w:space="0" w:color="auto"/>
                <w:right w:val="none" w:sz="0" w:space="0" w:color="auto"/>
              </w:divBdr>
              <w:divsChild>
                <w:div w:id="1986205144">
                  <w:marLeft w:val="0"/>
                  <w:marRight w:val="0"/>
                  <w:marTop w:val="0"/>
                  <w:marBottom w:val="0"/>
                  <w:divBdr>
                    <w:top w:val="none" w:sz="0" w:space="0" w:color="auto"/>
                    <w:left w:val="none" w:sz="0" w:space="0" w:color="auto"/>
                    <w:bottom w:val="none" w:sz="0" w:space="0" w:color="auto"/>
                    <w:right w:val="none" w:sz="0" w:space="0" w:color="auto"/>
                  </w:divBdr>
                  <w:divsChild>
                    <w:div w:id="386270498">
                      <w:marLeft w:val="0"/>
                      <w:marRight w:val="0"/>
                      <w:marTop w:val="0"/>
                      <w:marBottom w:val="0"/>
                      <w:divBdr>
                        <w:top w:val="none" w:sz="0" w:space="0" w:color="auto"/>
                        <w:left w:val="none" w:sz="0" w:space="0" w:color="auto"/>
                        <w:bottom w:val="none" w:sz="0" w:space="0" w:color="auto"/>
                        <w:right w:val="none" w:sz="0" w:space="0" w:color="auto"/>
                      </w:divBdr>
                      <w:divsChild>
                        <w:div w:id="1749837858">
                          <w:marLeft w:val="0"/>
                          <w:marRight w:val="0"/>
                          <w:marTop w:val="0"/>
                          <w:marBottom w:val="0"/>
                          <w:divBdr>
                            <w:top w:val="none" w:sz="0" w:space="0" w:color="auto"/>
                            <w:left w:val="none" w:sz="0" w:space="0" w:color="auto"/>
                            <w:bottom w:val="none" w:sz="0" w:space="0" w:color="auto"/>
                            <w:right w:val="none" w:sz="0" w:space="0" w:color="auto"/>
                          </w:divBdr>
                          <w:divsChild>
                            <w:div w:id="776608279">
                              <w:marLeft w:val="0"/>
                              <w:marRight w:val="0"/>
                              <w:marTop w:val="0"/>
                              <w:marBottom w:val="0"/>
                              <w:divBdr>
                                <w:top w:val="none" w:sz="0" w:space="0" w:color="auto"/>
                                <w:left w:val="none" w:sz="0" w:space="0" w:color="auto"/>
                                <w:bottom w:val="none" w:sz="0" w:space="0" w:color="auto"/>
                                <w:right w:val="none" w:sz="0" w:space="0" w:color="auto"/>
                              </w:divBdr>
                              <w:divsChild>
                                <w:div w:id="3427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9025">
      <w:bodyDiv w:val="1"/>
      <w:marLeft w:val="0"/>
      <w:marRight w:val="0"/>
      <w:marTop w:val="0"/>
      <w:marBottom w:val="0"/>
      <w:divBdr>
        <w:top w:val="none" w:sz="0" w:space="0" w:color="auto"/>
        <w:left w:val="none" w:sz="0" w:space="0" w:color="auto"/>
        <w:bottom w:val="none" w:sz="0" w:space="0" w:color="auto"/>
        <w:right w:val="none" w:sz="0" w:space="0" w:color="auto"/>
      </w:divBdr>
    </w:div>
    <w:div w:id="798914996">
      <w:bodyDiv w:val="1"/>
      <w:marLeft w:val="0"/>
      <w:marRight w:val="0"/>
      <w:marTop w:val="0"/>
      <w:marBottom w:val="0"/>
      <w:divBdr>
        <w:top w:val="none" w:sz="0" w:space="0" w:color="auto"/>
        <w:left w:val="none" w:sz="0" w:space="0" w:color="auto"/>
        <w:bottom w:val="none" w:sz="0" w:space="0" w:color="auto"/>
        <w:right w:val="none" w:sz="0" w:space="0" w:color="auto"/>
      </w:divBdr>
    </w:div>
    <w:div w:id="867764095">
      <w:bodyDiv w:val="1"/>
      <w:marLeft w:val="0"/>
      <w:marRight w:val="0"/>
      <w:marTop w:val="0"/>
      <w:marBottom w:val="0"/>
      <w:divBdr>
        <w:top w:val="none" w:sz="0" w:space="0" w:color="auto"/>
        <w:left w:val="none" w:sz="0" w:space="0" w:color="auto"/>
        <w:bottom w:val="none" w:sz="0" w:space="0" w:color="auto"/>
        <w:right w:val="none" w:sz="0" w:space="0" w:color="auto"/>
      </w:divBdr>
    </w:div>
    <w:div w:id="905798531">
      <w:bodyDiv w:val="1"/>
      <w:marLeft w:val="0"/>
      <w:marRight w:val="0"/>
      <w:marTop w:val="0"/>
      <w:marBottom w:val="0"/>
      <w:divBdr>
        <w:top w:val="none" w:sz="0" w:space="0" w:color="auto"/>
        <w:left w:val="none" w:sz="0" w:space="0" w:color="auto"/>
        <w:bottom w:val="none" w:sz="0" w:space="0" w:color="auto"/>
        <w:right w:val="none" w:sz="0" w:space="0" w:color="auto"/>
      </w:divBdr>
    </w:div>
    <w:div w:id="1024943627">
      <w:bodyDiv w:val="1"/>
      <w:marLeft w:val="0"/>
      <w:marRight w:val="0"/>
      <w:marTop w:val="0"/>
      <w:marBottom w:val="0"/>
      <w:divBdr>
        <w:top w:val="none" w:sz="0" w:space="0" w:color="auto"/>
        <w:left w:val="none" w:sz="0" w:space="0" w:color="auto"/>
        <w:bottom w:val="none" w:sz="0" w:space="0" w:color="auto"/>
        <w:right w:val="none" w:sz="0" w:space="0" w:color="auto"/>
      </w:divBdr>
    </w:div>
    <w:div w:id="1086609476">
      <w:bodyDiv w:val="1"/>
      <w:marLeft w:val="0"/>
      <w:marRight w:val="0"/>
      <w:marTop w:val="0"/>
      <w:marBottom w:val="0"/>
      <w:divBdr>
        <w:top w:val="none" w:sz="0" w:space="0" w:color="auto"/>
        <w:left w:val="none" w:sz="0" w:space="0" w:color="auto"/>
        <w:bottom w:val="none" w:sz="0" w:space="0" w:color="auto"/>
        <w:right w:val="none" w:sz="0" w:space="0" w:color="auto"/>
      </w:divBdr>
    </w:div>
    <w:div w:id="1089890009">
      <w:bodyDiv w:val="1"/>
      <w:marLeft w:val="0"/>
      <w:marRight w:val="0"/>
      <w:marTop w:val="0"/>
      <w:marBottom w:val="0"/>
      <w:divBdr>
        <w:top w:val="none" w:sz="0" w:space="0" w:color="auto"/>
        <w:left w:val="none" w:sz="0" w:space="0" w:color="auto"/>
        <w:bottom w:val="none" w:sz="0" w:space="0" w:color="auto"/>
        <w:right w:val="none" w:sz="0" w:space="0" w:color="auto"/>
      </w:divBdr>
    </w:div>
    <w:div w:id="1096705211">
      <w:bodyDiv w:val="1"/>
      <w:marLeft w:val="0"/>
      <w:marRight w:val="0"/>
      <w:marTop w:val="0"/>
      <w:marBottom w:val="0"/>
      <w:divBdr>
        <w:top w:val="none" w:sz="0" w:space="0" w:color="auto"/>
        <w:left w:val="none" w:sz="0" w:space="0" w:color="auto"/>
        <w:bottom w:val="none" w:sz="0" w:space="0" w:color="auto"/>
        <w:right w:val="none" w:sz="0" w:space="0" w:color="auto"/>
      </w:divBdr>
    </w:div>
    <w:div w:id="1216088797">
      <w:bodyDiv w:val="1"/>
      <w:marLeft w:val="0"/>
      <w:marRight w:val="0"/>
      <w:marTop w:val="0"/>
      <w:marBottom w:val="0"/>
      <w:divBdr>
        <w:top w:val="none" w:sz="0" w:space="0" w:color="auto"/>
        <w:left w:val="none" w:sz="0" w:space="0" w:color="auto"/>
        <w:bottom w:val="none" w:sz="0" w:space="0" w:color="auto"/>
        <w:right w:val="none" w:sz="0" w:space="0" w:color="auto"/>
      </w:divBdr>
    </w:div>
    <w:div w:id="1278179965">
      <w:bodyDiv w:val="1"/>
      <w:marLeft w:val="0"/>
      <w:marRight w:val="0"/>
      <w:marTop w:val="0"/>
      <w:marBottom w:val="0"/>
      <w:divBdr>
        <w:top w:val="none" w:sz="0" w:space="0" w:color="auto"/>
        <w:left w:val="none" w:sz="0" w:space="0" w:color="auto"/>
        <w:bottom w:val="none" w:sz="0" w:space="0" w:color="auto"/>
        <w:right w:val="none" w:sz="0" w:space="0" w:color="auto"/>
      </w:divBdr>
    </w:div>
    <w:div w:id="1352875872">
      <w:bodyDiv w:val="1"/>
      <w:marLeft w:val="0"/>
      <w:marRight w:val="0"/>
      <w:marTop w:val="0"/>
      <w:marBottom w:val="0"/>
      <w:divBdr>
        <w:top w:val="none" w:sz="0" w:space="0" w:color="auto"/>
        <w:left w:val="none" w:sz="0" w:space="0" w:color="auto"/>
        <w:bottom w:val="none" w:sz="0" w:space="0" w:color="auto"/>
        <w:right w:val="none" w:sz="0" w:space="0" w:color="auto"/>
      </w:divBdr>
    </w:div>
    <w:div w:id="1401904460">
      <w:bodyDiv w:val="1"/>
      <w:marLeft w:val="0"/>
      <w:marRight w:val="0"/>
      <w:marTop w:val="0"/>
      <w:marBottom w:val="0"/>
      <w:divBdr>
        <w:top w:val="none" w:sz="0" w:space="0" w:color="auto"/>
        <w:left w:val="none" w:sz="0" w:space="0" w:color="auto"/>
        <w:bottom w:val="none" w:sz="0" w:space="0" w:color="auto"/>
        <w:right w:val="none" w:sz="0" w:space="0" w:color="auto"/>
      </w:divBdr>
    </w:div>
    <w:div w:id="1405683386">
      <w:bodyDiv w:val="1"/>
      <w:marLeft w:val="0"/>
      <w:marRight w:val="0"/>
      <w:marTop w:val="0"/>
      <w:marBottom w:val="0"/>
      <w:divBdr>
        <w:top w:val="none" w:sz="0" w:space="0" w:color="auto"/>
        <w:left w:val="none" w:sz="0" w:space="0" w:color="auto"/>
        <w:bottom w:val="none" w:sz="0" w:space="0" w:color="auto"/>
        <w:right w:val="none" w:sz="0" w:space="0" w:color="auto"/>
      </w:divBdr>
    </w:div>
    <w:div w:id="1418361226">
      <w:bodyDiv w:val="1"/>
      <w:marLeft w:val="0"/>
      <w:marRight w:val="0"/>
      <w:marTop w:val="0"/>
      <w:marBottom w:val="0"/>
      <w:divBdr>
        <w:top w:val="none" w:sz="0" w:space="0" w:color="auto"/>
        <w:left w:val="none" w:sz="0" w:space="0" w:color="auto"/>
        <w:bottom w:val="none" w:sz="0" w:space="0" w:color="auto"/>
        <w:right w:val="none" w:sz="0" w:space="0" w:color="auto"/>
      </w:divBdr>
    </w:div>
    <w:div w:id="15556986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219">
          <w:marLeft w:val="0"/>
          <w:marRight w:val="0"/>
          <w:marTop w:val="0"/>
          <w:marBottom w:val="0"/>
          <w:divBdr>
            <w:top w:val="none" w:sz="0" w:space="0" w:color="auto"/>
            <w:left w:val="none" w:sz="0" w:space="0" w:color="auto"/>
            <w:bottom w:val="none" w:sz="0" w:space="0" w:color="auto"/>
            <w:right w:val="none" w:sz="0" w:space="0" w:color="auto"/>
          </w:divBdr>
          <w:divsChild>
            <w:div w:id="1331442233">
              <w:marLeft w:val="0"/>
              <w:marRight w:val="0"/>
              <w:marTop w:val="0"/>
              <w:marBottom w:val="0"/>
              <w:divBdr>
                <w:top w:val="none" w:sz="0" w:space="0" w:color="auto"/>
                <w:left w:val="none" w:sz="0" w:space="0" w:color="auto"/>
                <w:bottom w:val="none" w:sz="0" w:space="0" w:color="auto"/>
                <w:right w:val="none" w:sz="0" w:space="0" w:color="auto"/>
              </w:divBdr>
              <w:divsChild>
                <w:div w:id="318583967">
                  <w:marLeft w:val="0"/>
                  <w:marRight w:val="0"/>
                  <w:marTop w:val="0"/>
                  <w:marBottom w:val="0"/>
                  <w:divBdr>
                    <w:top w:val="none" w:sz="0" w:space="0" w:color="auto"/>
                    <w:left w:val="none" w:sz="0" w:space="0" w:color="auto"/>
                    <w:bottom w:val="none" w:sz="0" w:space="0" w:color="auto"/>
                    <w:right w:val="none" w:sz="0" w:space="0" w:color="auto"/>
                  </w:divBdr>
                  <w:divsChild>
                    <w:div w:id="1609502114">
                      <w:marLeft w:val="0"/>
                      <w:marRight w:val="0"/>
                      <w:marTop w:val="0"/>
                      <w:marBottom w:val="0"/>
                      <w:divBdr>
                        <w:top w:val="none" w:sz="0" w:space="0" w:color="auto"/>
                        <w:left w:val="none" w:sz="0" w:space="0" w:color="auto"/>
                        <w:bottom w:val="none" w:sz="0" w:space="0" w:color="auto"/>
                        <w:right w:val="none" w:sz="0" w:space="0" w:color="auto"/>
                      </w:divBdr>
                      <w:divsChild>
                        <w:div w:id="336082170">
                          <w:marLeft w:val="0"/>
                          <w:marRight w:val="0"/>
                          <w:marTop w:val="0"/>
                          <w:marBottom w:val="0"/>
                          <w:divBdr>
                            <w:top w:val="none" w:sz="0" w:space="0" w:color="auto"/>
                            <w:left w:val="none" w:sz="0" w:space="0" w:color="auto"/>
                            <w:bottom w:val="none" w:sz="0" w:space="0" w:color="auto"/>
                            <w:right w:val="none" w:sz="0" w:space="0" w:color="auto"/>
                          </w:divBdr>
                          <w:divsChild>
                            <w:div w:id="502013288">
                              <w:marLeft w:val="0"/>
                              <w:marRight w:val="0"/>
                              <w:marTop w:val="0"/>
                              <w:marBottom w:val="0"/>
                              <w:divBdr>
                                <w:top w:val="none" w:sz="0" w:space="0" w:color="auto"/>
                                <w:left w:val="none" w:sz="0" w:space="0" w:color="auto"/>
                                <w:bottom w:val="none" w:sz="0" w:space="0" w:color="auto"/>
                                <w:right w:val="none" w:sz="0" w:space="0" w:color="auto"/>
                              </w:divBdr>
                              <w:divsChild>
                                <w:div w:id="1509322490">
                                  <w:marLeft w:val="0"/>
                                  <w:marRight w:val="0"/>
                                  <w:marTop w:val="0"/>
                                  <w:marBottom w:val="0"/>
                                  <w:divBdr>
                                    <w:top w:val="none" w:sz="0" w:space="0" w:color="auto"/>
                                    <w:left w:val="none" w:sz="0" w:space="0" w:color="auto"/>
                                    <w:bottom w:val="none" w:sz="0" w:space="0" w:color="auto"/>
                                    <w:right w:val="none" w:sz="0" w:space="0" w:color="auto"/>
                                  </w:divBdr>
                                </w:div>
                              </w:divsChild>
                            </w:div>
                            <w:div w:id="1895191627">
                              <w:marLeft w:val="0"/>
                              <w:marRight w:val="0"/>
                              <w:marTop w:val="240"/>
                              <w:marBottom w:val="0"/>
                              <w:divBdr>
                                <w:top w:val="none" w:sz="0" w:space="0" w:color="auto"/>
                                <w:left w:val="none" w:sz="0" w:space="0" w:color="auto"/>
                                <w:bottom w:val="none" w:sz="0" w:space="0" w:color="auto"/>
                                <w:right w:val="none" w:sz="0" w:space="0" w:color="auto"/>
                              </w:divBdr>
                              <w:divsChild>
                                <w:div w:id="569271809">
                                  <w:marLeft w:val="0"/>
                                  <w:marRight w:val="240"/>
                                  <w:marTop w:val="0"/>
                                  <w:marBottom w:val="0"/>
                                  <w:divBdr>
                                    <w:top w:val="none" w:sz="0" w:space="0" w:color="auto"/>
                                    <w:left w:val="none" w:sz="0" w:space="0" w:color="auto"/>
                                    <w:bottom w:val="none" w:sz="0" w:space="0" w:color="auto"/>
                                    <w:right w:val="none" w:sz="0" w:space="0" w:color="auto"/>
                                  </w:divBdr>
                                </w:div>
                                <w:div w:id="1819032713">
                                  <w:marLeft w:val="0"/>
                                  <w:marRight w:val="240"/>
                                  <w:marTop w:val="0"/>
                                  <w:marBottom w:val="0"/>
                                  <w:divBdr>
                                    <w:top w:val="none" w:sz="0" w:space="0" w:color="auto"/>
                                    <w:left w:val="none" w:sz="0" w:space="0" w:color="auto"/>
                                    <w:bottom w:val="none" w:sz="0" w:space="0" w:color="auto"/>
                                    <w:right w:val="none" w:sz="0" w:space="0" w:color="auto"/>
                                  </w:divBdr>
                                </w:div>
                              </w:divsChild>
                            </w:div>
                            <w:div w:id="1898129115">
                              <w:marLeft w:val="0"/>
                              <w:marRight w:val="0"/>
                              <w:marTop w:val="0"/>
                              <w:marBottom w:val="0"/>
                              <w:divBdr>
                                <w:top w:val="none" w:sz="0" w:space="0" w:color="auto"/>
                                <w:left w:val="none" w:sz="0" w:space="0" w:color="auto"/>
                                <w:bottom w:val="none" w:sz="0" w:space="0" w:color="auto"/>
                                <w:right w:val="none" w:sz="0" w:space="0" w:color="auto"/>
                              </w:divBdr>
                            </w:div>
                            <w:div w:id="8473300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195">
      <w:bodyDiv w:val="1"/>
      <w:marLeft w:val="0"/>
      <w:marRight w:val="0"/>
      <w:marTop w:val="0"/>
      <w:marBottom w:val="0"/>
      <w:divBdr>
        <w:top w:val="none" w:sz="0" w:space="0" w:color="auto"/>
        <w:left w:val="none" w:sz="0" w:space="0" w:color="auto"/>
        <w:bottom w:val="none" w:sz="0" w:space="0" w:color="auto"/>
        <w:right w:val="none" w:sz="0" w:space="0" w:color="auto"/>
      </w:divBdr>
    </w:div>
    <w:div w:id="1591157482">
      <w:bodyDiv w:val="1"/>
      <w:marLeft w:val="0"/>
      <w:marRight w:val="0"/>
      <w:marTop w:val="0"/>
      <w:marBottom w:val="0"/>
      <w:divBdr>
        <w:top w:val="none" w:sz="0" w:space="0" w:color="auto"/>
        <w:left w:val="none" w:sz="0" w:space="0" w:color="auto"/>
        <w:bottom w:val="none" w:sz="0" w:space="0" w:color="auto"/>
        <w:right w:val="none" w:sz="0" w:space="0" w:color="auto"/>
      </w:divBdr>
    </w:div>
    <w:div w:id="1597254411">
      <w:bodyDiv w:val="1"/>
      <w:marLeft w:val="0"/>
      <w:marRight w:val="0"/>
      <w:marTop w:val="0"/>
      <w:marBottom w:val="0"/>
      <w:divBdr>
        <w:top w:val="none" w:sz="0" w:space="0" w:color="auto"/>
        <w:left w:val="none" w:sz="0" w:space="0" w:color="auto"/>
        <w:bottom w:val="none" w:sz="0" w:space="0" w:color="auto"/>
        <w:right w:val="none" w:sz="0" w:space="0" w:color="auto"/>
      </w:divBdr>
    </w:div>
    <w:div w:id="1637107022">
      <w:bodyDiv w:val="1"/>
      <w:marLeft w:val="0"/>
      <w:marRight w:val="0"/>
      <w:marTop w:val="0"/>
      <w:marBottom w:val="0"/>
      <w:divBdr>
        <w:top w:val="none" w:sz="0" w:space="0" w:color="auto"/>
        <w:left w:val="none" w:sz="0" w:space="0" w:color="auto"/>
        <w:bottom w:val="none" w:sz="0" w:space="0" w:color="auto"/>
        <w:right w:val="none" w:sz="0" w:space="0" w:color="auto"/>
      </w:divBdr>
    </w:div>
    <w:div w:id="1721903947">
      <w:bodyDiv w:val="1"/>
      <w:marLeft w:val="0"/>
      <w:marRight w:val="0"/>
      <w:marTop w:val="0"/>
      <w:marBottom w:val="0"/>
      <w:divBdr>
        <w:top w:val="none" w:sz="0" w:space="0" w:color="auto"/>
        <w:left w:val="none" w:sz="0" w:space="0" w:color="auto"/>
        <w:bottom w:val="none" w:sz="0" w:space="0" w:color="auto"/>
        <w:right w:val="none" w:sz="0" w:space="0" w:color="auto"/>
      </w:divBdr>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
    <w:div w:id="1747915448">
      <w:bodyDiv w:val="1"/>
      <w:marLeft w:val="0"/>
      <w:marRight w:val="0"/>
      <w:marTop w:val="0"/>
      <w:marBottom w:val="0"/>
      <w:divBdr>
        <w:top w:val="none" w:sz="0" w:space="0" w:color="auto"/>
        <w:left w:val="none" w:sz="0" w:space="0" w:color="auto"/>
        <w:bottom w:val="none" w:sz="0" w:space="0" w:color="auto"/>
        <w:right w:val="none" w:sz="0" w:space="0" w:color="auto"/>
      </w:divBdr>
      <w:divsChild>
        <w:div w:id="683560301">
          <w:marLeft w:val="0"/>
          <w:marRight w:val="0"/>
          <w:marTop w:val="0"/>
          <w:marBottom w:val="0"/>
          <w:divBdr>
            <w:top w:val="none" w:sz="0" w:space="0" w:color="auto"/>
            <w:left w:val="none" w:sz="0" w:space="0" w:color="auto"/>
            <w:bottom w:val="none" w:sz="0" w:space="0" w:color="auto"/>
            <w:right w:val="none" w:sz="0" w:space="0" w:color="auto"/>
          </w:divBdr>
          <w:divsChild>
            <w:div w:id="1332103347">
              <w:marLeft w:val="0"/>
              <w:marRight w:val="0"/>
              <w:marTop w:val="0"/>
              <w:marBottom w:val="0"/>
              <w:divBdr>
                <w:top w:val="none" w:sz="0" w:space="0" w:color="auto"/>
                <w:left w:val="none" w:sz="0" w:space="0" w:color="auto"/>
                <w:bottom w:val="none" w:sz="0" w:space="0" w:color="auto"/>
                <w:right w:val="none" w:sz="0" w:space="0" w:color="auto"/>
              </w:divBdr>
              <w:divsChild>
                <w:div w:id="93136827">
                  <w:marLeft w:val="0"/>
                  <w:marRight w:val="0"/>
                  <w:marTop w:val="0"/>
                  <w:marBottom w:val="0"/>
                  <w:divBdr>
                    <w:top w:val="none" w:sz="0" w:space="0" w:color="auto"/>
                    <w:left w:val="none" w:sz="0" w:space="0" w:color="auto"/>
                    <w:bottom w:val="none" w:sz="0" w:space="0" w:color="auto"/>
                    <w:right w:val="none" w:sz="0" w:space="0" w:color="auto"/>
                  </w:divBdr>
                  <w:divsChild>
                    <w:div w:id="1029181224">
                      <w:marLeft w:val="0"/>
                      <w:marRight w:val="0"/>
                      <w:marTop w:val="0"/>
                      <w:marBottom w:val="0"/>
                      <w:divBdr>
                        <w:top w:val="none" w:sz="0" w:space="0" w:color="auto"/>
                        <w:left w:val="none" w:sz="0" w:space="0" w:color="auto"/>
                        <w:bottom w:val="none" w:sz="0" w:space="0" w:color="auto"/>
                        <w:right w:val="none" w:sz="0" w:space="0" w:color="auto"/>
                      </w:divBdr>
                      <w:divsChild>
                        <w:div w:id="1562406508">
                          <w:marLeft w:val="0"/>
                          <w:marRight w:val="0"/>
                          <w:marTop w:val="0"/>
                          <w:marBottom w:val="0"/>
                          <w:divBdr>
                            <w:top w:val="none" w:sz="0" w:space="0" w:color="auto"/>
                            <w:left w:val="none" w:sz="0" w:space="0" w:color="auto"/>
                            <w:bottom w:val="none" w:sz="0" w:space="0" w:color="auto"/>
                            <w:right w:val="none" w:sz="0" w:space="0" w:color="auto"/>
                          </w:divBdr>
                          <w:divsChild>
                            <w:div w:id="2013602944">
                              <w:marLeft w:val="0"/>
                              <w:marRight w:val="0"/>
                              <w:marTop w:val="0"/>
                              <w:marBottom w:val="0"/>
                              <w:divBdr>
                                <w:top w:val="none" w:sz="0" w:space="0" w:color="auto"/>
                                <w:left w:val="none" w:sz="0" w:space="0" w:color="auto"/>
                                <w:bottom w:val="none" w:sz="0" w:space="0" w:color="auto"/>
                                <w:right w:val="none" w:sz="0" w:space="0" w:color="auto"/>
                              </w:divBdr>
                              <w:divsChild>
                                <w:div w:id="13085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75444">
      <w:bodyDiv w:val="1"/>
      <w:marLeft w:val="0"/>
      <w:marRight w:val="0"/>
      <w:marTop w:val="0"/>
      <w:marBottom w:val="0"/>
      <w:divBdr>
        <w:top w:val="none" w:sz="0" w:space="0" w:color="auto"/>
        <w:left w:val="none" w:sz="0" w:space="0" w:color="auto"/>
        <w:bottom w:val="none" w:sz="0" w:space="0" w:color="auto"/>
        <w:right w:val="none" w:sz="0" w:space="0" w:color="auto"/>
      </w:divBdr>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2027899360">
      <w:bodyDiv w:val="1"/>
      <w:marLeft w:val="0"/>
      <w:marRight w:val="0"/>
      <w:marTop w:val="0"/>
      <w:marBottom w:val="0"/>
      <w:divBdr>
        <w:top w:val="none" w:sz="0" w:space="0" w:color="auto"/>
        <w:left w:val="none" w:sz="0" w:space="0" w:color="auto"/>
        <w:bottom w:val="none" w:sz="0" w:space="0" w:color="auto"/>
        <w:right w:val="none" w:sz="0" w:space="0" w:color="auto"/>
      </w:divBdr>
      <w:divsChild>
        <w:div w:id="832915784">
          <w:marLeft w:val="0"/>
          <w:marRight w:val="0"/>
          <w:marTop w:val="0"/>
          <w:marBottom w:val="0"/>
          <w:divBdr>
            <w:top w:val="none" w:sz="0" w:space="0" w:color="auto"/>
            <w:left w:val="none" w:sz="0" w:space="0" w:color="auto"/>
            <w:bottom w:val="none" w:sz="0" w:space="0" w:color="auto"/>
            <w:right w:val="none" w:sz="0" w:space="0" w:color="auto"/>
          </w:divBdr>
          <w:divsChild>
            <w:div w:id="1386248599">
              <w:marLeft w:val="0"/>
              <w:marRight w:val="0"/>
              <w:marTop w:val="0"/>
              <w:marBottom w:val="0"/>
              <w:divBdr>
                <w:top w:val="none" w:sz="0" w:space="0" w:color="auto"/>
                <w:left w:val="none" w:sz="0" w:space="0" w:color="auto"/>
                <w:bottom w:val="none" w:sz="0" w:space="0" w:color="auto"/>
                <w:right w:val="none" w:sz="0" w:space="0" w:color="auto"/>
              </w:divBdr>
              <w:divsChild>
                <w:div w:id="60370439">
                  <w:marLeft w:val="0"/>
                  <w:marRight w:val="0"/>
                  <w:marTop w:val="0"/>
                  <w:marBottom w:val="0"/>
                  <w:divBdr>
                    <w:top w:val="none" w:sz="0" w:space="0" w:color="auto"/>
                    <w:left w:val="none" w:sz="0" w:space="0" w:color="auto"/>
                    <w:bottom w:val="none" w:sz="0" w:space="0" w:color="auto"/>
                    <w:right w:val="none" w:sz="0" w:space="0" w:color="auto"/>
                  </w:divBdr>
                  <w:divsChild>
                    <w:div w:id="1406345245">
                      <w:marLeft w:val="0"/>
                      <w:marRight w:val="0"/>
                      <w:marTop w:val="0"/>
                      <w:marBottom w:val="0"/>
                      <w:divBdr>
                        <w:top w:val="none" w:sz="0" w:space="0" w:color="auto"/>
                        <w:left w:val="none" w:sz="0" w:space="0" w:color="auto"/>
                        <w:bottom w:val="none" w:sz="0" w:space="0" w:color="auto"/>
                        <w:right w:val="none" w:sz="0" w:space="0" w:color="auto"/>
                      </w:divBdr>
                      <w:divsChild>
                        <w:div w:id="1650860036">
                          <w:marLeft w:val="0"/>
                          <w:marRight w:val="0"/>
                          <w:marTop w:val="0"/>
                          <w:marBottom w:val="0"/>
                          <w:divBdr>
                            <w:top w:val="none" w:sz="0" w:space="0" w:color="auto"/>
                            <w:left w:val="none" w:sz="0" w:space="0" w:color="auto"/>
                            <w:bottom w:val="none" w:sz="0" w:space="0" w:color="auto"/>
                            <w:right w:val="none" w:sz="0" w:space="0" w:color="auto"/>
                          </w:divBdr>
                          <w:divsChild>
                            <w:div w:id="1631323887">
                              <w:marLeft w:val="0"/>
                              <w:marRight w:val="0"/>
                              <w:marTop w:val="0"/>
                              <w:marBottom w:val="0"/>
                              <w:divBdr>
                                <w:top w:val="none" w:sz="0" w:space="0" w:color="auto"/>
                                <w:left w:val="none" w:sz="0" w:space="0" w:color="auto"/>
                                <w:bottom w:val="none" w:sz="0" w:space="0" w:color="auto"/>
                                <w:right w:val="none" w:sz="0" w:space="0" w:color="auto"/>
                              </w:divBdr>
                              <w:divsChild>
                                <w:div w:id="1968856280">
                                  <w:marLeft w:val="0"/>
                                  <w:marRight w:val="0"/>
                                  <w:marTop w:val="0"/>
                                  <w:marBottom w:val="0"/>
                                  <w:divBdr>
                                    <w:top w:val="none" w:sz="0" w:space="0" w:color="auto"/>
                                    <w:left w:val="none" w:sz="0" w:space="0" w:color="auto"/>
                                    <w:bottom w:val="none" w:sz="0" w:space="0" w:color="auto"/>
                                    <w:right w:val="none" w:sz="0" w:space="0" w:color="auto"/>
                                  </w:divBdr>
                                </w:div>
                              </w:divsChild>
                            </w:div>
                            <w:div w:id="922492806">
                              <w:marLeft w:val="0"/>
                              <w:marRight w:val="0"/>
                              <w:marTop w:val="240"/>
                              <w:marBottom w:val="0"/>
                              <w:divBdr>
                                <w:top w:val="none" w:sz="0" w:space="0" w:color="auto"/>
                                <w:left w:val="none" w:sz="0" w:space="0" w:color="auto"/>
                                <w:bottom w:val="none" w:sz="0" w:space="0" w:color="auto"/>
                                <w:right w:val="none" w:sz="0" w:space="0" w:color="auto"/>
                              </w:divBdr>
                              <w:divsChild>
                                <w:div w:id="1983922078">
                                  <w:marLeft w:val="0"/>
                                  <w:marRight w:val="240"/>
                                  <w:marTop w:val="0"/>
                                  <w:marBottom w:val="0"/>
                                  <w:divBdr>
                                    <w:top w:val="none" w:sz="0" w:space="0" w:color="auto"/>
                                    <w:left w:val="none" w:sz="0" w:space="0" w:color="auto"/>
                                    <w:bottom w:val="none" w:sz="0" w:space="0" w:color="auto"/>
                                    <w:right w:val="none" w:sz="0" w:space="0" w:color="auto"/>
                                  </w:divBdr>
                                </w:div>
                                <w:div w:id="446629816">
                                  <w:marLeft w:val="0"/>
                                  <w:marRight w:val="240"/>
                                  <w:marTop w:val="0"/>
                                  <w:marBottom w:val="0"/>
                                  <w:divBdr>
                                    <w:top w:val="none" w:sz="0" w:space="0" w:color="auto"/>
                                    <w:left w:val="none" w:sz="0" w:space="0" w:color="auto"/>
                                    <w:bottom w:val="none" w:sz="0" w:space="0" w:color="auto"/>
                                    <w:right w:val="none" w:sz="0" w:space="0" w:color="auto"/>
                                  </w:divBdr>
                                </w:div>
                              </w:divsChild>
                            </w:div>
                            <w:div w:id="147641526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27614">
      <w:bodyDiv w:val="1"/>
      <w:marLeft w:val="0"/>
      <w:marRight w:val="0"/>
      <w:marTop w:val="0"/>
      <w:marBottom w:val="0"/>
      <w:divBdr>
        <w:top w:val="none" w:sz="0" w:space="0" w:color="auto"/>
        <w:left w:val="none" w:sz="0" w:space="0" w:color="auto"/>
        <w:bottom w:val="none" w:sz="0" w:space="0" w:color="auto"/>
        <w:right w:val="none" w:sz="0" w:space="0" w:color="auto"/>
      </w:divBdr>
    </w:div>
    <w:div w:id="21363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cirp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IFPRI%20biocarburant\Atelier\2012\BiocarburSen%20EXP\ResultsMacro(28avril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IFPRI%20biocarburant\Atelier\2012\BiocarburSen%20EXP\ResultsMacro(28avril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IFPRI%20biocarburant\Atelier\2012\Pauv\Results(28avril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IFPRI%20biocarburant\Atelier\2012\Pauv\Results(28avril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IFPRI%20biocarburant\Atelier\2012\Pauv\Results(28avril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6405074365704281E-2"/>
          <c:y val="5.1400554097404488E-2"/>
          <c:w val="0.92121041119860014"/>
          <c:h val="0.81849518810148769"/>
        </c:manualLayout>
      </c:layout>
      <c:barChart>
        <c:barDir val="col"/>
        <c:grouping val="clustered"/>
        <c:ser>
          <c:idx val="0"/>
          <c:order val="0"/>
          <c:tx>
            <c:strRef>
              <c:f>Sheet4!$C$3</c:f>
              <c:strCache>
                <c:ptCount val="1"/>
                <c:pt idx="0">
                  <c:v>Services</c:v>
                </c:pt>
              </c:strCache>
            </c:strRef>
          </c:tx>
          <c:cat>
            <c:numRef>
              <c:f>Sheet4!$D$2:$N$2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Sheet4!$D$3:$N$3</c:f>
              <c:numCache>
                <c:formatCode>General</c:formatCode>
                <c:ptCount val="11"/>
                <c:pt idx="0">
                  <c:v>2.2000000000000002</c:v>
                </c:pt>
                <c:pt idx="1">
                  <c:v>1.7000000000000002</c:v>
                </c:pt>
                <c:pt idx="2">
                  <c:v>2.9</c:v>
                </c:pt>
                <c:pt idx="3">
                  <c:v>3.6</c:v>
                </c:pt>
                <c:pt idx="4">
                  <c:v>4.3</c:v>
                </c:pt>
                <c:pt idx="5">
                  <c:v>3.5</c:v>
                </c:pt>
                <c:pt idx="6">
                  <c:v>3.5</c:v>
                </c:pt>
                <c:pt idx="7">
                  <c:v>4.2</c:v>
                </c:pt>
                <c:pt idx="8">
                  <c:v>2.1</c:v>
                </c:pt>
                <c:pt idx="9">
                  <c:v>0.5</c:v>
                </c:pt>
                <c:pt idx="10">
                  <c:v>2.2999999999999998</c:v>
                </c:pt>
              </c:numCache>
            </c:numRef>
          </c:val>
        </c:ser>
        <c:ser>
          <c:idx val="1"/>
          <c:order val="1"/>
          <c:tx>
            <c:strRef>
              <c:f>Sheet4!$C$4</c:f>
              <c:strCache>
                <c:ptCount val="1"/>
                <c:pt idx="0">
                  <c:v>Industry</c:v>
                </c:pt>
              </c:strCache>
            </c:strRef>
          </c:tx>
          <c:cat>
            <c:numRef>
              <c:f>Sheet4!$D$2:$N$2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Sheet4!$D$4:$N$4</c:f>
              <c:numCache>
                <c:formatCode>General</c:formatCode>
                <c:ptCount val="11"/>
                <c:pt idx="0">
                  <c:v>1</c:v>
                </c:pt>
                <c:pt idx="1">
                  <c:v>1.3</c:v>
                </c:pt>
                <c:pt idx="2">
                  <c:v>1.2</c:v>
                </c:pt>
                <c:pt idx="3">
                  <c:v>0.9</c:v>
                </c:pt>
                <c:pt idx="4">
                  <c:v>1.4</c:v>
                </c:pt>
                <c:pt idx="5">
                  <c:v>0.9</c:v>
                </c:pt>
                <c:pt idx="6">
                  <c:v>0.30000000000000032</c:v>
                </c:pt>
                <c:pt idx="7">
                  <c:v>1.6</c:v>
                </c:pt>
                <c:pt idx="8">
                  <c:v>-0.30000000000000032</c:v>
                </c:pt>
                <c:pt idx="9">
                  <c:v>0.30000000000000032</c:v>
                </c:pt>
                <c:pt idx="10">
                  <c:v>1.2</c:v>
                </c:pt>
              </c:numCache>
            </c:numRef>
          </c:val>
        </c:ser>
        <c:ser>
          <c:idx val="2"/>
          <c:order val="2"/>
          <c:tx>
            <c:strRef>
              <c:f>Sheet4!$C$5</c:f>
              <c:strCache>
                <c:ptCount val="1"/>
                <c:pt idx="0">
                  <c:v>Agriculture</c:v>
                </c:pt>
              </c:strCache>
            </c:strRef>
          </c:tx>
          <c:cat>
            <c:numRef>
              <c:f>Sheet4!$D$2:$N$2</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Sheet4!$D$5:$N$5</c:f>
              <c:numCache>
                <c:formatCode>General</c:formatCode>
                <c:ptCount val="11"/>
                <c:pt idx="0">
                  <c:v>0.4</c:v>
                </c:pt>
                <c:pt idx="1">
                  <c:v>0.1</c:v>
                </c:pt>
                <c:pt idx="2">
                  <c:v>-3.9</c:v>
                </c:pt>
                <c:pt idx="3">
                  <c:v>2.7</c:v>
                </c:pt>
                <c:pt idx="4">
                  <c:v>0.5</c:v>
                </c:pt>
                <c:pt idx="5">
                  <c:v>1.4</c:v>
                </c:pt>
                <c:pt idx="6">
                  <c:v>-1.5</c:v>
                </c:pt>
                <c:pt idx="7">
                  <c:v>-0.9</c:v>
                </c:pt>
                <c:pt idx="8">
                  <c:v>2.5</c:v>
                </c:pt>
                <c:pt idx="9">
                  <c:v>2.2000000000000002</c:v>
                </c:pt>
                <c:pt idx="10">
                  <c:v>0.9</c:v>
                </c:pt>
              </c:numCache>
            </c:numRef>
          </c:val>
        </c:ser>
        <c:axId val="133164032"/>
        <c:axId val="133165824"/>
      </c:barChart>
      <c:catAx>
        <c:axId val="133164032"/>
        <c:scaling>
          <c:orientation val="minMax"/>
        </c:scaling>
        <c:axPos val="b"/>
        <c:numFmt formatCode="General" sourceLinked="1"/>
        <c:tickLblPos val="nextTo"/>
        <c:crossAx val="133165824"/>
        <c:crosses val="autoZero"/>
        <c:auto val="1"/>
        <c:lblAlgn val="ctr"/>
        <c:lblOffset val="100"/>
      </c:catAx>
      <c:valAx>
        <c:axId val="133165824"/>
        <c:scaling>
          <c:orientation val="minMax"/>
        </c:scaling>
        <c:axPos val="l"/>
        <c:majorGridlines/>
        <c:numFmt formatCode="General" sourceLinked="1"/>
        <c:tickLblPos val="nextTo"/>
        <c:crossAx val="133164032"/>
        <c:crosses val="autoZero"/>
        <c:crossBetween val="between"/>
      </c:valAx>
    </c:plotArea>
    <c:legend>
      <c:legendPos val="r"/>
      <c:layout>
        <c:manualLayout>
          <c:xMode val="edge"/>
          <c:yMode val="edge"/>
          <c:x val="6.9167979002624849E-2"/>
          <c:y val="0.91146106736657961"/>
          <c:w val="0.81694313210848901"/>
          <c:h val="8.448490813648328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lineChart>
        <c:grouping val="standard"/>
        <c:ser>
          <c:idx val="0"/>
          <c:order val="0"/>
          <c:spPr>
            <a:ln>
              <a:solidFill>
                <a:schemeClr val="tx1"/>
              </a:solidFill>
              <a:prstDash val="sysDash"/>
            </a:ln>
          </c:spPr>
          <c:marker>
            <c:symbol val="none"/>
          </c:marker>
          <c:val>
            <c:numRef>
              <c:f>Sheet2!$B$2:$Q$2</c:f>
              <c:numCache>
                <c:formatCode>General</c:formatCode>
                <c:ptCount val="16"/>
                <c:pt idx="0">
                  <c:v>0</c:v>
                </c:pt>
                <c:pt idx="1">
                  <c:v>5.1014105514557385E-3</c:v>
                </c:pt>
                <c:pt idx="2">
                  <c:v>1.3213378096321731E-2</c:v>
                </c:pt>
                <c:pt idx="3">
                  <c:v>2.7422843653757172E-2</c:v>
                </c:pt>
                <c:pt idx="4">
                  <c:v>4.8214582709160667E-2</c:v>
                </c:pt>
                <c:pt idx="5">
                  <c:v>7.5286539567986921E-2</c:v>
                </c:pt>
                <c:pt idx="6">
                  <c:v>0.10974931388785247</c:v>
                </c:pt>
                <c:pt idx="7">
                  <c:v>0.14971825840404157</c:v>
                </c:pt>
                <c:pt idx="8">
                  <c:v>0.19486219185649345</c:v>
                </c:pt>
                <c:pt idx="9">
                  <c:v>0.24491103367194658</c:v>
                </c:pt>
                <c:pt idx="10">
                  <c:v>0.2995915865747989</c:v>
                </c:pt>
                <c:pt idx="11">
                  <c:v>0.37280200718399276</c:v>
                </c:pt>
                <c:pt idx="12">
                  <c:v>0.45378386886334482</c:v>
                </c:pt>
                <c:pt idx="13">
                  <c:v>0.5419751583852328</c:v>
                </c:pt>
                <c:pt idx="14">
                  <c:v>0.63696207358940982</c:v>
                </c:pt>
                <c:pt idx="15">
                  <c:v>0.73840164208771664</c:v>
                </c:pt>
              </c:numCache>
            </c:numRef>
          </c:val>
        </c:ser>
        <c:marker val="1"/>
        <c:axId val="134770688"/>
        <c:axId val="134772224"/>
      </c:lineChart>
      <c:catAx>
        <c:axId val="134770688"/>
        <c:scaling>
          <c:orientation val="minMax"/>
        </c:scaling>
        <c:axPos val="b"/>
        <c:tickLblPos val="nextTo"/>
        <c:crossAx val="134772224"/>
        <c:crosses val="autoZero"/>
        <c:auto val="1"/>
        <c:lblAlgn val="ctr"/>
        <c:lblOffset val="100"/>
      </c:catAx>
      <c:valAx>
        <c:axId val="134772224"/>
        <c:scaling>
          <c:orientation val="minMax"/>
        </c:scaling>
        <c:axPos val="l"/>
        <c:majorGridlines/>
        <c:numFmt formatCode="General" sourceLinked="1"/>
        <c:tickLblPos val="nextTo"/>
        <c:crossAx val="1347706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lineChart>
        <c:grouping val="standard"/>
        <c:ser>
          <c:idx val="0"/>
          <c:order val="0"/>
          <c:spPr>
            <a:ln>
              <a:solidFill>
                <a:schemeClr val="tx1"/>
              </a:solidFill>
              <a:prstDash val="sysDash"/>
            </a:ln>
          </c:spPr>
          <c:marker>
            <c:symbol val="none"/>
          </c:marker>
          <c:val>
            <c:numRef>
              <c:f>'Ecart(SHigh)'!$C$153:$C$168</c:f>
              <c:numCache>
                <c:formatCode>0.000</c:formatCode>
                <c:ptCount val="16"/>
                <c:pt idx="0">
                  <c:v>0</c:v>
                </c:pt>
                <c:pt idx="1">
                  <c:v>9.9571841083223814E-3</c:v>
                </c:pt>
                <c:pt idx="2">
                  <c:v>3.2722513089011876E-2</c:v>
                </c:pt>
                <c:pt idx="3">
                  <c:v>8.2605617181963367E-2</c:v>
                </c:pt>
                <c:pt idx="4">
                  <c:v>0.12643823492224396</c:v>
                </c:pt>
                <c:pt idx="5">
                  <c:v>0.20172135556750811</c:v>
                </c:pt>
                <c:pt idx="6">
                  <c:v>0.27019340159271099</c:v>
                </c:pt>
                <c:pt idx="7">
                  <c:v>0.35928143712573585</c:v>
                </c:pt>
                <c:pt idx="8">
                  <c:v>0.45533050714399181</c:v>
                </c:pt>
                <c:pt idx="9">
                  <c:v>0.5417829584633217</c:v>
                </c:pt>
                <c:pt idx="10">
                  <c:v>0.63367014899813423</c:v>
                </c:pt>
                <c:pt idx="11">
                  <c:v>0.73083778966132051</c:v>
                </c:pt>
                <c:pt idx="12">
                  <c:v>0.83348768290423259</c:v>
                </c:pt>
                <c:pt idx="13">
                  <c:v>0.94140249759846473</c:v>
                </c:pt>
                <c:pt idx="14">
                  <c:v>1.0549363057325012</c:v>
                </c:pt>
                <c:pt idx="15">
                  <c:v>1.1532125205930857</c:v>
                </c:pt>
              </c:numCache>
            </c:numRef>
          </c:val>
        </c:ser>
        <c:marker val="1"/>
        <c:axId val="134787456"/>
        <c:axId val="134788992"/>
      </c:lineChart>
      <c:catAx>
        <c:axId val="134787456"/>
        <c:scaling>
          <c:orientation val="minMax"/>
        </c:scaling>
        <c:axPos val="b"/>
        <c:tickLblPos val="nextTo"/>
        <c:crossAx val="134788992"/>
        <c:crosses val="autoZero"/>
        <c:auto val="1"/>
        <c:lblAlgn val="ctr"/>
        <c:lblOffset val="100"/>
      </c:catAx>
      <c:valAx>
        <c:axId val="134788992"/>
        <c:scaling>
          <c:orientation val="minMax"/>
        </c:scaling>
        <c:axPos val="l"/>
        <c:majorGridlines/>
        <c:numFmt formatCode="0.000" sourceLinked="1"/>
        <c:tickLblPos val="nextTo"/>
        <c:crossAx val="1347874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8.741907261592298E-2"/>
          <c:y val="5.1400554097404488E-2"/>
          <c:w val="0.89870581802274763"/>
          <c:h val="0.85090259550889591"/>
        </c:manualLayout>
      </c:layout>
      <c:lineChart>
        <c:grouping val="standard"/>
        <c:ser>
          <c:idx val="0"/>
          <c:order val="0"/>
          <c:tx>
            <c:strRef>
              <c:f>Sheet3!$A$2</c:f>
              <c:strCache>
                <c:ptCount val="1"/>
                <c:pt idx="0">
                  <c:v>agricultural capital</c:v>
                </c:pt>
              </c:strCache>
            </c:strRef>
          </c:tx>
          <c:spPr>
            <a:ln>
              <a:solidFill>
                <a:schemeClr val="tx1"/>
              </a:solidFill>
              <a:prstDash val="solid"/>
            </a:ln>
          </c:spPr>
          <c:marker>
            <c:symbol val="none"/>
          </c:marker>
          <c:val>
            <c:numRef>
              <c:f>Sheet3!$B$2:$Q$2</c:f>
              <c:numCache>
                <c:formatCode>General</c:formatCode>
                <c:ptCount val="16"/>
                <c:pt idx="0">
                  <c:v>0</c:v>
                </c:pt>
                <c:pt idx="1">
                  <c:v>0.21149999999999947</c:v>
                </c:pt>
                <c:pt idx="2">
                  <c:v>0.33740000000000114</c:v>
                </c:pt>
                <c:pt idx="3">
                  <c:v>0.40910000000000002</c:v>
                </c:pt>
                <c:pt idx="4">
                  <c:v>0.45940000000000047</c:v>
                </c:pt>
                <c:pt idx="5">
                  <c:v>0.50329999999999941</c:v>
                </c:pt>
                <c:pt idx="6">
                  <c:v>0.62359999999999971</c:v>
                </c:pt>
                <c:pt idx="7">
                  <c:v>0.7107</c:v>
                </c:pt>
                <c:pt idx="8">
                  <c:v>0.77959999999999863</c:v>
                </c:pt>
                <c:pt idx="9">
                  <c:v>0.83720000000000283</c:v>
                </c:pt>
                <c:pt idx="10">
                  <c:v>0.88810000000000144</c:v>
                </c:pt>
                <c:pt idx="11">
                  <c:v>1.001299999999999</c:v>
                </c:pt>
                <c:pt idx="12">
                  <c:v>1.0882000000000005</c:v>
                </c:pt>
                <c:pt idx="13">
                  <c:v>1.1575999999999935</c:v>
                </c:pt>
                <c:pt idx="14">
                  <c:v>1.214500000000001</c:v>
                </c:pt>
                <c:pt idx="15">
                  <c:v>1.2629999999999963</c:v>
                </c:pt>
              </c:numCache>
            </c:numRef>
          </c:val>
        </c:ser>
        <c:ser>
          <c:idx val="1"/>
          <c:order val="1"/>
          <c:tx>
            <c:strRef>
              <c:f>Sheet3!$A$3</c:f>
              <c:strCache>
                <c:ptCount val="1"/>
                <c:pt idx="0">
                  <c:v>non agricultural capital</c:v>
                </c:pt>
              </c:strCache>
            </c:strRef>
          </c:tx>
          <c:spPr>
            <a:ln>
              <a:solidFill>
                <a:schemeClr val="tx1"/>
              </a:solidFill>
              <a:prstDash val="sysDash"/>
            </a:ln>
          </c:spPr>
          <c:marker>
            <c:symbol val="none"/>
          </c:marker>
          <c:val>
            <c:numRef>
              <c:f>Sheet3!$B$3:$Q$3</c:f>
              <c:numCache>
                <c:formatCode>General</c:formatCode>
                <c:ptCount val="16"/>
                <c:pt idx="0">
                  <c:v>0</c:v>
                </c:pt>
                <c:pt idx="1">
                  <c:v>-8.099999999998905E-3</c:v>
                </c:pt>
                <c:pt idx="2">
                  <c:v>-3.9000000000015749E-3</c:v>
                </c:pt>
                <c:pt idx="3">
                  <c:v>6.599999999998842E-3</c:v>
                </c:pt>
                <c:pt idx="4">
                  <c:v>1.8899999999995035E-2</c:v>
                </c:pt>
                <c:pt idx="5">
                  <c:v>3.1300000000001674E-2</c:v>
                </c:pt>
                <c:pt idx="6">
                  <c:v>4.2499999999996978E-2</c:v>
                </c:pt>
                <c:pt idx="7">
                  <c:v>5.3100000000000591E-2</c:v>
                </c:pt>
                <c:pt idx="8">
                  <c:v>6.319999999999483E-2</c:v>
                </c:pt>
                <c:pt idx="9">
                  <c:v>7.2699999999997642E-2</c:v>
                </c:pt>
                <c:pt idx="10">
                  <c:v>8.1599999999994718E-2</c:v>
                </c:pt>
                <c:pt idx="11">
                  <c:v>8.6699999999993546E-2</c:v>
                </c:pt>
                <c:pt idx="12">
                  <c:v>9.0400000000002506E-2</c:v>
                </c:pt>
                <c:pt idx="13">
                  <c:v>9.3100000000006983E-2</c:v>
                </c:pt>
                <c:pt idx="14">
                  <c:v>9.5099999999988111E-2</c:v>
                </c:pt>
                <c:pt idx="15">
                  <c:v>9.6500000000006067E-2</c:v>
                </c:pt>
              </c:numCache>
            </c:numRef>
          </c:val>
        </c:ser>
        <c:marker val="1"/>
        <c:axId val="134874624"/>
        <c:axId val="134876160"/>
      </c:lineChart>
      <c:catAx>
        <c:axId val="134874624"/>
        <c:scaling>
          <c:orientation val="minMax"/>
        </c:scaling>
        <c:axPos val="b"/>
        <c:tickLblPos val="nextTo"/>
        <c:crossAx val="134876160"/>
        <c:crosses val="autoZero"/>
        <c:auto val="1"/>
        <c:lblAlgn val="ctr"/>
        <c:lblOffset val="100"/>
      </c:catAx>
      <c:valAx>
        <c:axId val="134876160"/>
        <c:scaling>
          <c:orientation val="minMax"/>
        </c:scaling>
        <c:axPos val="l"/>
        <c:majorGridlines/>
        <c:numFmt formatCode="General" sourceLinked="1"/>
        <c:tickLblPos val="nextTo"/>
        <c:crossAx val="134874624"/>
        <c:crosses val="autoZero"/>
        <c:crossBetween val="between"/>
      </c:valAx>
    </c:plotArea>
    <c:legend>
      <c:legendPos val="r"/>
      <c:layout>
        <c:manualLayout>
          <c:xMode val="edge"/>
          <c:yMode val="edge"/>
          <c:x val="3.61248906386702E-2"/>
          <c:y val="0.92978783902012263"/>
          <c:w val="0.9249862204724405"/>
          <c:h val="6.635024788568096E-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7.8919072615923014E-2"/>
          <c:y val="5.1400554097404488E-2"/>
          <c:w val="0.90701137357830364"/>
          <c:h val="0.75608278226931269"/>
        </c:manualLayout>
      </c:layout>
      <c:lineChart>
        <c:grouping val="standard"/>
        <c:ser>
          <c:idx val="0"/>
          <c:order val="0"/>
          <c:tx>
            <c:strRef>
              <c:f>Sheet1!$C$49</c:f>
              <c:strCache>
                <c:ptCount val="1"/>
                <c:pt idx="0">
                  <c:v>Other agriculture</c:v>
                </c:pt>
              </c:strCache>
            </c:strRef>
          </c:tx>
          <c:val>
            <c:numRef>
              <c:f>Sheet1!$C$50:$C$65</c:f>
              <c:numCache>
                <c:formatCode>General</c:formatCode>
                <c:ptCount val="16"/>
                <c:pt idx="0">
                  <c:v>0</c:v>
                </c:pt>
                <c:pt idx="1">
                  <c:v>0</c:v>
                </c:pt>
                <c:pt idx="2">
                  <c:v>0</c:v>
                </c:pt>
                <c:pt idx="3">
                  <c:v>0.46511627906977787</c:v>
                </c:pt>
                <c:pt idx="4">
                  <c:v>0.48780487804878148</c:v>
                </c:pt>
                <c:pt idx="5">
                  <c:v>0</c:v>
                </c:pt>
                <c:pt idx="6">
                  <c:v>0.52631578947368551</c:v>
                </c:pt>
                <c:pt idx="7">
                  <c:v>0.54347826086955653</c:v>
                </c:pt>
                <c:pt idx="8">
                  <c:v>0.55865921787710093</c:v>
                </c:pt>
                <c:pt idx="9">
                  <c:v>1.14942528735633</c:v>
                </c:pt>
                <c:pt idx="10">
                  <c:v>1.1764705882352915</c:v>
                </c:pt>
                <c:pt idx="11">
                  <c:v>0.59880239520957468</c:v>
                </c:pt>
                <c:pt idx="12">
                  <c:v>1.2269938650306884</c:v>
                </c:pt>
                <c:pt idx="13">
                  <c:v>1.2499999999999929</c:v>
                </c:pt>
                <c:pt idx="14">
                  <c:v>1.2658227848101098</c:v>
                </c:pt>
                <c:pt idx="15">
                  <c:v>1.2903225806451646</c:v>
                </c:pt>
              </c:numCache>
            </c:numRef>
          </c:val>
        </c:ser>
        <c:ser>
          <c:idx val="1"/>
          <c:order val="1"/>
          <c:tx>
            <c:strRef>
              <c:f>Sheet1!$D$49</c:f>
              <c:strCache>
                <c:ptCount val="1"/>
                <c:pt idx="0">
                  <c:v>Rice </c:v>
                </c:pt>
              </c:strCache>
            </c:strRef>
          </c:tx>
          <c:val>
            <c:numRef>
              <c:f>Sheet1!$D$50:$D$65</c:f>
              <c:numCache>
                <c:formatCode>General</c:formatCode>
                <c:ptCount val="16"/>
                <c:pt idx="0">
                  <c:v>0</c:v>
                </c:pt>
                <c:pt idx="1">
                  <c:v>0.29761904761904701</c:v>
                </c:pt>
                <c:pt idx="2">
                  <c:v>0.29850746268655931</c:v>
                </c:pt>
                <c:pt idx="3">
                  <c:v>0.60422960725077424</c:v>
                </c:pt>
                <c:pt idx="4">
                  <c:v>0.91743119266054562</c:v>
                </c:pt>
                <c:pt idx="5">
                  <c:v>1.2422360248447244</c:v>
                </c:pt>
                <c:pt idx="6">
                  <c:v>1.2578616352201224</c:v>
                </c:pt>
                <c:pt idx="7">
                  <c:v>1.5923566878980999</c:v>
                </c:pt>
                <c:pt idx="8">
                  <c:v>1.9354838709677595</c:v>
                </c:pt>
                <c:pt idx="9">
                  <c:v>2.280130293159591</c:v>
                </c:pt>
                <c:pt idx="10">
                  <c:v>2.3026315789473712</c:v>
                </c:pt>
                <c:pt idx="11">
                  <c:v>2.6578073089701202</c:v>
                </c:pt>
                <c:pt idx="12">
                  <c:v>3.0201342281879295</c:v>
                </c:pt>
                <c:pt idx="13">
                  <c:v>3.3783783783783772</c:v>
                </c:pt>
                <c:pt idx="14">
                  <c:v>3.754266211604107</c:v>
                </c:pt>
                <c:pt idx="15">
                  <c:v>4.1237113402061851</c:v>
                </c:pt>
              </c:numCache>
            </c:numRef>
          </c:val>
        </c:ser>
        <c:ser>
          <c:idx val="2"/>
          <c:order val="2"/>
          <c:tx>
            <c:strRef>
              <c:f>Sheet1!$E$49</c:f>
              <c:strCache>
                <c:ptCount val="1"/>
                <c:pt idx="0">
                  <c:v>Vegetable</c:v>
                </c:pt>
              </c:strCache>
            </c:strRef>
          </c:tx>
          <c:spPr>
            <a:ln>
              <a:solidFill>
                <a:schemeClr val="tx1"/>
              </a:solidFill>
              <a:prstDash val="sysDash"/>
            </a:ln>
          </c:spPr>
          <c:val>
            <c:numRef>
              <c:f>Sheet1!$E$50:$E$65</c:f>
              <c:numCache>
                <c:formatCode>General</c:formatCode>
                <c:ptCount val="16"/>
                <c:pt idx="0">
                  <c:v>0</c:v>
                </c:pt>
                <c:pt idx="1">
                  <c:v>0.14814814814814192</c:v>
                </c:pt>
                <c:pt idx="2">
                  <c:v>0.15673981191222136</c:v>
                </c:pt>
                <c:pt idx="3">
                  <c:v>0.32894736842103978</c:v>
                </c:pt>
                <c:pt idx="4">
                  <c:v>0.34246575342464824</c:v>
                </c:pt>
                <c:pt idx="5">
                  <c:v>0.53191489361701372</c:v>
                </c:pt>
                <c:pt idx="6">
                  <c:v>0.54744525547445544</c:v>
                </c:pt>
                <c:pt idx="7">
                  <c:v>0.93808630393996573</c:v>
                </c:pt>
                <c:pt idx="8">
                  <c:v>0.95969289827255799</c:v>
                </c:pt>
                <c:pt idx="9">
                  <c:v>1.3725490196078605</c:v>
                </c:pt>
                <c:pt idx="10">
                  <c:v>1.397205588822348</c:v>
                </c:pt>
                <c:pt idx="11">
                  <c:v>1.6260162601626105</c:v>
                </c:pt>
                <c:pt idx="12">
                  <c:v>1.6494845360824684</c:v>
                </c:pt>
                <c:pt idx="13">
                  <c:v>2.0964360587002018</c:v>
                </c:pt>
                <c:pt idx="14">
                  <c:v>2.3354564755838561</c:v>
                </c:pt>
                <c:pt idx="15">
                  <c:v>2.5806451612903287</c:v>
                </c:pt>
              </c:numCache>
            </c:numRef>
          </c:val>
        </c:ser>
        <c:ser>
          <c:idx val="3"/>
          <c:order val="3"/>
          <c:tx>
            <c:strRef>
              <c:f>Sheet1!$F$49</c:f>
              <c:strCache>
                <c:ptCount val="1"/>
                <c:pt idx="0">
                  <c:v>Jatropha</c:v>
                </c:pt>
              </c:strCache>
            </c:strRef>
          </c:tx>
          <c:spPr>
            <a:ln>
              <a:solidFill>
                <a:schemeClr val="tx1"/>
              </a:solidFill>
              <a:prstDash val="sysDot"/>
            </a:ln>
          </c:spPr>
          <c:val>
            <c:numRef>
              <c:f>Sheet1!$F$50:$F$65</c:f>
              <c:numCache>
                <c:formatCode>General</c:formatCode>
                <c:ptCount val="16"/>
                <c:pt idx="0">
                  <c:v>0</c:v>
                </c:pt>
                <c:pt idx="1">
                  <c:v>0</c:v>
                </c:pt>
                <c:pt idx="2">
                  <c:v>0</c:v>
                </c:pt>
                <c:pt idx="3">
                  <c:v>0</c:v>
                </c:pt>
                <c:pt idx="4">
                  <c:v>0</c:v>
                </c:pt>
                <c:pt idx="5">
                  <c:v>0</c:v>
                </c:pt>
                <c:pt idx="6">
                  <c:v>0</c:v>
                </c:pt>
                <c:pt idx="7">
                  <c:v>0</c:v>
                </c:pt>
                <c:pt idx="8">
                  <c:v>0.73529411764705699</c:v>
                </c:pt>
                <c:pt idx="9">
                  <c:v>0.74074074074073071</c:v>
                </c:pt>
                <c:pt idx="10">
                  <c:v>0</c:v>
                </c:pt>
                <c:pt idx="11">
                  <c:v>0</c:v>
                </c:pt>
                <c:pt idx="12">
                  <c:v>0</c:v>
                </c:pt>
                <c:pt idx="13">
                  <c:v>0</c:v>
                </c:pt>
                <c:pt idx="14">
                  <c:v>0</c:v>
                </c:pt>
                <c:pt idx="15">
                  <c:v>0</c:v>
                </c:pt>
              </c:numCache>
            </c:numRef>
          </c:val>
        </c:ser>
        <c:ser>
          <c:idx val="4"/>
          <c:order val="4"/>
          <c:tx>
            <c:strRef>
              <c:f>Sheet1!$G$49</c:f>
              <c:strCache>
                <c:ptCount val="1"/>
                <c:pt idx="0">
                  <c:v>Sugarcane</c:v>
                </c:pt>
              </c:strCache>
            </c:strRef>
          </c:tx>
          <c:val>
            <c:numRef>
              <c:f>Sheet1!$G$50:$G$65</c:f>
              <c:numCache>
                <c:formatCode>General</c:formatCode>
                <c:ptCount val="16"/>
                <c:pt idx="0">
                  <c:v>0</c:v>
                </c:pt>
                <c:pt idx="1">
                  <c:v>0.10362694300518635</c:v>
                </c:pt>
                <c:pt idx="2">
                  <c:v>0.10582010582009804</c:v>
                </c:pt>
                <c:pt idx="3">
                  <c:v>0.2157497303128201</c:v>
                </c:pt>
                <c:pt idx="4">
                  <c:v>0.32930845225027727</c:v>
                </c:pt>
                <c:pt idx="5">
                  <c:v>0.33444816053511722</c:v>
                </c:pt>
                <c:pt idx="6">
                  <c:v>0.56561085972850556</c:v>
                </c:pt>
                <c:pt idx="7">
                  <c:v>0.80275229357797961</c:v>
                </c:pt>
                <c:pt idx="8">
                  <c:v>0.92807424593965848</c:v>
                </c:pt>
                <c:pt idx="9">
                  <c:v>1.056338028169002</c:v>
                </c:pt>
                <c:pt idx="10">
                  <c:v>1.1862396204033181</c:v>
                </c:pt>
                <c:pt idx="11">
                  <c:v>1.5587529976019101</c:v>
                </c:pt>
                <c:pt idx="12">
                  <c:v>1.6949152542372841</c:v>
                </c:pt>
                <c:pt idx="13">
                  <c:v>1.9559902200489088</c:v>
                </c:pt>
                <c:pt idx="14">
                  <c:v>2.2194821208384639</c:v>
                </c:pt>
                <c:pt idx="15">
                  <c:v>2.487562189054723</c:v>
                </c:pt>
              </c:numCache>
            </c:numRef>
          </c:val>
        </c:ser>
        <c:marker val="1"/>
        <c:axId val="134899200"/>
        <c:axId val="134900736"/>
      </c:lineChart>
      <c:catAx>
        <c:axId val="134899200"/>
        <c:scaling>
          <c:orientation val="minMax"/>
        </c:scaling>
        <c:axPos val="b"/>
        <c:tickLblPos val="nextTo"/>
        <c:crossAx val="134900736"/>
        <c:crosses val="autoZero"/>
        <c:auto val="1"/>
        <c:lblAlgn val="ctr"/>
        <c:lblOffset val="100"/>
      </c:catAx>
      <c:valAx>
        <c:axId val="134900736"/>
        <c:scaling>
          <c:orientation val="minMax"/>
        </c:scaling>
        <c:axPos val="l"/>
        <c:majorGridlines/>
        <c:numFmt formatCode="General" sourceLinked="1"/>
        <c:tickLblPos val="nextTo"/>
        <c:crossAx val="134899200"/>
        <c:crosses val="autoZero"/>
        <c:crossBetween val="between"/>
      </c:valAx>
    </c:plotArea>
    <c:legend>
      <c:legendPos val="r"/>
      <c:layout>
        <c:manualLayout>
          <c:xMode val="edge"/>
          <c:yMode val="edge"/>
          <c:x val="0"/>
          <c:y val="0.86941073403208369"/>
          <c:w val="0.99827078380982437"/>
          <c:h val="0.1269192856465351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8.741907261592298E-2"/>
          <c:y val="5.1400554097404488E-2"/>
          <c:w val="0.89893875765529363"/>
          <c:h val="0.85553222513852434"/>
        </c:manualLayout>
      </c:layout>
      <c:lineChart>
        <c:grouping val="standard"/>
        <c:ser>
          <c:idx val="0"/>
          <c:order val="0"/>
          <c:tx>
            <c:strRef>
              <c:f>Sheet1!$A$2</c:f>
              <c:strCache>
                <c:ptCount val="1"/>
                <c:pt idx="0">
                  <c:v>Nominal revenue</c:v>
                </c:pt>
              </c:strCache>
            </c:strRef>
          </c:tx>
          <c:spPr>
            <a:ln>
              <a:solidFill>
                <a:schemeClr val="tx1"/>
              </a:solidFill>
              <a:prstDash val="solid"/>
            </a:ln>
          </c:spPr>
          <c:marker>
            <c:symbol val="none"/>
          </c:marker>
          <c:val>
            <c:numRef>
              <c:f>Sheet1!$B$2:$Q$2</c:f>
              <c:numCache>
                <c:formatCode>General</c:formatCode>
                <c:ptCount val="16"/>
                <c:pt idx="0">
                  <c:v>0</c:v>
                </c:pt>
                <c:pt idx="1">
                  <c:v>6.5999999999997241E-3</c:v>
                </c:pt>
                <c:pt idx="2">
                  <c:v>2.0500000000000192E-2</c:v>
                </c:pt>
                <c:pt idx="3">
                  <c:v>4.3399999999999994E-2</c:v>
                </c:pt>
                <c:pt idx="4">
                  <c:v>7.3200000000000154E-2</c:v>
                </c:pt>
                <c:pt idx="5">
                  <c:v>0.10780000000000012</c:v>
                </c:pt>
                <c:pt idx="6">
                  <c:v>0.14700000000000024</c:v>
                </c:pt>
                <c:pt idx="7">
                  <c:v>0.18840000000000043</c:v>
                </c:pt>
                <c:pt idx="8">
                  <c:v>0.23150000000000004</c:v>
                </c:pt>
                <c:pt idx="9">
                  <c:v>0.27590000000000031</c:v>
                </c:pt>
                <c:pt idx="10">
                  <c:v>0.32140000000000063</c:v>
                </c:pt>
                <c:pt idx="11">
                  <c:v>0.36670000000000008</c:v>
                </c:pt>
                <c:pt idx="12">
                  <c:v>0.41320000000000001</c:v>
                </c:pt>
                <c:pt idx="13">
                  <c:v>0.46100000000000002</c:v>
                </c:pt>
                <c:pt idx="14">
                  <c:v>0.51</c:v>
                </c:pt>
                <c:pt idx="15">
                  <c:v>0.5603999999999999</c:v>
                </c:pt>
              </c:numCache>
            </c:numRef>
          </c:val>
        </c:ser>
        <c:ser>
          <c:idx val="1"/>
          <c:order val="1"/>
          <c:tx>
            <c:strRef>
              <c:f>Sheet1!$A$3</c:f>
              <c:strCache>
                <c:ptCount val="1"/>
                <c:pt idx="0">
                  <c:v>Consumption price</c:v>
                </c:pt>
              </c:strCache>
            </c:strRef>
          </c:tx>
          <c:spPr>
            <a:ln>
              <a:solidFill>
                <a:schemeClr val="tx1"/>
              </a:solidFill>
              <a:prstDash val="sysDash"/>
            </a:ln>
          </c:spPr>
          <c:marker>
            <c:symbol val="none"/>
          </c:marker>
          <c:val>
            <c:numRef>
              <c:f>Sheet1!$B$3:$Q$3</c:f>
              <c:numCache>
                <c:formatCode>General</c:formatCode>
                <c:ptCount val="16"/>
                <c:pt idx="0">
                  <c:v>0</c:v>
                </c:pt>
                <c:pt idx="1">
                  <c:v>-5.7000000000000444E-3</c:v>
                </c:pt>
                <c:pt idx="2">
                  <c:v>-1.0899999999999459E-2</c:v>
                </c:pt>
                <c:pt idx="3">
                  <c:v>-1.6799999999999926E-2</c:v>
                </c:pt>
                <c:pt idx="4">
                  <c:v>-2.3799999999999589E-2</c:v>
                </c:pt>
                <c:pt idx="5">
                  <c:v>-3.1800000000000543E-2</c:v>
                </c:pt>
                <c:pt idx="6">
                  <c:v>-3.6400000000000481E-2</c:v>
                </c:pt>
                <c:pt idx="7">
                  <c:v>-4.2399999999997197E-2</c:v>
                </c:pt>
                <c:pt idx="8">
                  <c:v>-4.9899999999997502E-2</c:v>
                </c:pt>
                <c:pt idx="9">
                  <c:v>-5.8800000000001532E-2</c:v>
                </c:pt>
                <c:pt idx="10">
                  <c:v>-6.9299999999998474E-2</c:v>
                </c:pt>
                <c:pt idx="11">
                  <c:v>-0.11599999999999965</c:v>
                </c:pt>
                <c:pt idx="12">
                  <c:v>-0.16460000000000008</c:v>
                </c:pt>
                <c:pt idx="13">
                  <c:v>-0.21490000000000034</c:v>
                </c:pt>
                <c:pt idx="14">
                  <c:v>-0.26709999999999967</c:v>
                </c:pt>
                <c:pt idx="15">
                  <c:v>-0.32090000000000224</c:v>
                </c:pt>
              </c:numCache>
            </c:numRef>
          </c:val>
        </c:ser>
        <c:marker val="1"/>
        <c:axId val="134622208"/>
        <c:axId val="134624000"/>
      </c:lineChart>
      <c:catAx>
        <c:axId val="134622208"/>
        <c:scaling>
          <c:orientation val="minMax"/>
        </c:scaling>
        <c:axPos val="b"/>
        <c:tickLblPos val="nextTo"/>
        <c:crossAx val="134624000"/>
        <c:crosses val="autoZero"/>
        <c:auto val="1"/>
        <c:lblAlgn val="ctr"/>
        <c:lblOffset val="100"/>
      </c:catAx>
      <c:valAx>
        <c:axId val="134624000"/>
        <c:scaling>
          <c:orientation val="minMax"/>
        </c:scaling>
        <c:axPos val="l"/>
        <c:majorGridlines/>
        <c:numFmt formatCode="General" sourceLinked="1"/>
        <c:tickLblPos val="nextTo"/>
        <c:crossAx val="134622208"/>
        <c:crosses val="autoZero"/>
        <c:crossBetween val="between"/>
      </c:valAx>
    </c:plotArea>
    <c:legend>
      <c:legendPos val="r"/>
      <c:layout>
        <c:manualLayout>
          <c:xMode val="edge"/>
          <c:yMode val="edge"/>
          <c:x val="8.2097112860892565E-2"/>
          <c:y val="0.93480132691746853"/>
          <c:w val="0.83456955380577424"/>
          <c:h val="6.0952901720618402E-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lineChart>
        <c:grouping val="standard"/>
        <c:ser>
          <c:idx val="0"/>
          <c:order val="0"/>
          <c:tx>
            <c:strRef>
              <c:f>Pauv2!$A$2</c:f>
              <c:strCache>
                <c:ptCount val="1"/>
                <c:pt idx="0">
                  <c:v>Senegal</c:v>
                </c:pt>
              </c:strCache>
            </c:strRef>
          </c:tx>
          <c:spPr>
            <a:ln>
              <a:solidFill>
                <a:schemeClr val="tx1"/>
              </a:solidFill>
              <a:prstDash val="sysDash"/>
            </a:ln>
          </c:spPr>
          <c:marker>
            <c:symbol val="none"/>
          </c:marker>
          <c:val>
            <c:numRef>
              <c:f>Pauv2!$B$2:$Q$2</c:f>
              <c:numCache>
                <c:formatCode>0.00</c:formatCode>
                <c:ptCount val="16"/>
                <c:pt idx="0">
                  <c:v>0</c:v>
                </c:pt>
                <c:pt idx="1">
                  <c:v>2.0400000000009356E-3</c:v>
                </c:pt>
                <c:pt idx="2">
                  <c:v>1.069000000000386E-2</c:v>
                </c:pt>
                <c:pt idx="3">
                  <c:v>2.3200000000045411E-3</c:v>
                </c:pt>
                <c:pt idx="4">
                  <c:v>1.2199999999964459E-3</c:v>
                </c:pt>
                <c:pt idx="5">
                  <c:v>1.189000000000108E-2</c:v>
                </c:pt>
                <c:pt idx="6">
                  <c:v>0</c:v>
                </c:pt>
                <c:pt idx="7">
                  <c:v>1.0849999999997809E-2</c:v>
                </c:pt>
                <c:pt idx="8">
                  <c:v>-3.8760000000003458E-2</c:v>
                </c:pt>
                <c:pt idx="9">
                  <c:v>0</c:v>
                </c:pt>
                <c:pt idx="10">
                  <c:v>-0.10797000000000169</c:v>
                </c:pt>
                <c:pt idx="11">
                  <c:v>-2.0579999999998929E-2</c:v>
                </c:pt>
                <c:pt idx="12">
                  <c:v>-0.20706999999999834</c:v>
                </c:pt>
                <c:pt idx="13">
                  <c:v>-0.25190999999999925</c:v>
                </c:pt>
                <c:pt idx="14">
                  <c:v>-0.1800700000000007</c:v>
                </c:pt>
                <c:pt idx="15">
                  <c:v>-0.28301999999999766</c:v>
                </c:pt>
              </c:numCache>
            </c:numRef>
          </c:val>
        </c:ser>
        <c:marker val="1"/>
        <c:axId val="134631424"/>
        <c:axId val="134632960"/>
      </c:lineChart>
      <c:catAx>
        <c:axId val="134631424"/>
        <c:scaling>
          <c:orientation val="minMax"/>
        </c:scaling>
        <c:axPos val="b"/>
        <c:tickLblPos val="nextTo"/>
        <c:crossAx val="134632960"/>
        <c:crosses val="autoZero"/>
        <c:auto val="1"/>
        <c:lblAlgn val="ctr"/>
        <c:lblOffset val="100"/>
      </c:catAx>
      <c:valAx>
        <c:axId val="134632960"/>
        <c:scaling>
          <c:orientation val="minMax"/>
        </c:scaling>
        <c:axPos val="l"/>
        <c:majorGridlines/>
        <c:numFmt formatCode="0.00" sourceLinked="1"/>
        <c:tickLblPos val="nextTo"/>
        <c:crossAx val="13463142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0.10150218722659669"/>
          <c:y val="5.1400554097404488E-2"/>
          <c:w val="0.8871316710411199"/>
          <c:h val="0.86016185476815465"/>
        </c:manualLayout>
      </c:layout>
      <c:lineChart>
        <c:grouping val="standard"/>
        <c:ser>
          <c:idx val="0"/>
          <c:order val="0"/>
          <c:tx>
            <c:strRef>
              <c:f>Pauv2!$A$3</c:f>
              <c:strCache>
                <c:ptCount val="1"/>
                <c:pt idx="0">
                  <c:v>dakar</c:v>
                </c:pt>
              </c:strCache>
            </c:strRef>
          </c:tx>
          <c:spPr>
            <a:ln>
              <a:solidFill>
                <a:schemeClr val="tx1"/>
              </a:solidFill>
              <a:prstDash val="sysDash"/>
            </a:ln>
          </c:spPr>
          <c:marker>
            <c:symbol val="none"/>
          </c:marker>
          <c:val>
            <c:numRef>
              <c:f>Pauv2!$B$3:$Q$3</c:f>
              <c:numCache>
                <c:formatCode>0.00</c:formatCode>
                <c:ptCount val="16"/>
                <c:pt idx="0">
                  <c:v>0</c:v>
                </c:pt>
                <c:pt idx="1">
                  <c:v>0</c:v>
                </c:pt>
                <c:pt idx="2">
                  <c:v>0</c:v>
                </c:pt>
                <c:pt idx="3">
                  <c:v>0</c:v>
                </c:pt>
                <c:pt idx="4">
                  <c:v>0</c:v>
                </c:pt>
                <c:pt idx="5">
                  <c:v>0</c:v>
                </c:pt>
                <c:pt idx="6">
                  <c:v>0</c:v>
                </c:pt>
                <c:pt idx="7">
                  <c:v>0</c:v>
                </c:pt>
                <c:pt idx="8">
                  <c:v>-0.11927999999999983</c:v>
                </c:pt>
                <c:pt idx="9">
                  <c:v>0</c:v>
                </c:pt>
                <c:pt idx="10">
                  <c:v>-0.39952000000000326</c:v>
                </c:pt>
                <c:pt idx="11">
                  <c:v>-0.21617000000000175</c:v>
                </c:pt>
                <c:pt idx="12">
                  <c:v>-0.50591000000000008</c:v>
                </c:pt>
                <c:pt idx="13">
                  <c:v>-0.46878999999999915</c:v>
                </c:pt>
                <c:pt idx="14">
                  <c:v>-0.21420999999999804</c:v>
                </c:pt>
                <c:pt idx="15">
                  <c:v>-0.55814000000000163</c:v>
                </c:pt>
              </c:numCache>
            </c:numRef>
          </c:val>
        </c:ser>
        <c:ser>
          <c:idx val="1"/>
          <c:order val="1"/>
          <c:tx>
            <c:strRef>
              <c:f>Pauv2!$A$4</c:f>
              <c:strCache>
                <c:ptCount val="1"/>
                <c:pt idx="0">
                  <c:v>other cities</c:v>
                </c:pt>
              </c:strCache>
            </c:strRef>
          </c:tx>
          <c:marker>
            <c:symbol val="none"/>
          </c:marker>
          <c:val>
            <c:numRef>
              <c:f>Pauv2!$B$4:$Q$4</c:f>
              <c:numCache>
                <c:formatCode>0.00</c:formatCode>
                <c:ptCount val="16"/>
                <c:pt idx="0">
                  <c:v>0</c:v>
                </c:pt>
                <c:pt idx="1">
                  <c:v>5.03000000000143E-3</c:v>
                </c:pt>
                <c:pt idx="2">
                  <c:v>2.521000000000129E-2</c:v>
                </c:pt>
                <c:pt idx="3">
                  <c:v>1.3239999999999696E-2</c:v>
                </c:pt>
                <c:pt idx="4">
                  <c:v>6.9299999999969993E-3</c:v>
                </c:pt>
                <c:pt idx="5">
                  <c:v>1.1239999999997257E-2</c:v>
                </c:pt>
                <c:pt idx="6">
                  <c:v>0</c:v>
                </c:pt>
                <c:pt idx="7">
                  <c:v>0</c:v>
                </c:pt>
                <c:pt idx="8">
                  <c:v>0</c:v>
                </c:pt>
                <c:pt idx="9">
                  <c:v>0</c:v>
                </c:pt>
                <c:pt idx="10">
                  <c:v>0</c:v>
                </c:pt>
                <c:pt idx="11">
                  <c:v>0</c:v>
                </c:pt>
                <c:pt idx="12">
                  <c:v>-1.8549999999997627E-2</c:v>
                </c:pt>
                <c:pt idx="13">
                  <c:v>-5.4600000000000717E-2</c:v>
                </c:pt>
                <c:pt idx="14">
                  <c:v>-4.2519999999999739E-2</c:v>
                </c:pt>
                <c:pt idx="15">
                  <c:v>-0.12143999999999967</c:v>
                </c:pt>
              </c:numCache>
            </c:numRef>
          </c:val>
        </c:ser>
        <c:ser>
          <c:idx val="2"/>
          <c:order val="2"/>
          <c:tx>
            <c:strRef>
              <c:f>Pauv2!$A$5</c:f>
              <c:strCache>
                <c:ptCount val="1"/>
                <c:pt idx="0">
                  <c:v>rural</c:v>
                </c:pt>
              </c:strCache>
            </c:strRef>
          </c:tx>
          <c:val>
            <c:numRef>
              <c:f>Pauv2!$B$5:$Q$5</c:f>
              <c:numCache>
                <c:formatCode>0.00</c:formatCode>
                <c:ptCount val="16"/>
                <c:pt idx="0">
                  <c:v>0</c:v>
                </c:pt>
                <c:pt idx="1">
                  <c:v>1.9899999999992701E-3</c:v>
                </c:pt>
                <c:pt idx="2">
                  <c:v>1.0750000000001593E-2</c:v>
                </c:pt>
                <c:pt idx="3">
                  <c:v>0</c:v>
                </c:pt>
                <c:pt idx="4">
                  <c:v>0</c:v>
                </c:pt>
                <c:pt idx="5">
                  <c:v>1.700000000000302E-2</c:v>
                </c:pt>
                <c:pt idx="6">
                  <c:v>0</c:v>
                </c:pt>
                <c:pt idx="7">
                  <c:v>1.8589999999996113E-2</c:v>
                </c:pt>
                <c:pt idx="8">
                  <c:v>-1.7109999999995299E-2</c:v>
                </c:pt>
                <c:pt idx="9">
                  <c:v>0</c:v>
                </c:pt>
                <c:pt idx="10">
                  <c:v>-1.9820000000002867E-2</c:v>
                </c:pt>
                <c:pt idx="11">
                  <c:v>5.414999999999992E-2</c:v>
                </c:pt>
                <c:pt idx="12">
                  <c:v>-0.140099999999997</c:v>
                </c:pt>
                <c:pt idx="13">
                  <c:v>-0.22148999999999591</c:v>
                </c:pt>
                <c:pt idx="14">
                  <c:v>-0.20727999999999724</c:v>
                </c:pt>
                <c:pt idx="15">
                  <c:v>-0.21776999999999838</c:v>
                </c:pt>
              </c:numCache>
            </c:numRef>
          </c:val>
        </c:ser>
        <c:marker val="1"/>
        <c:axId val="134662016"/>
        <c:axId val="134663552"/>
      </c:lineChart>
      <c:catAx>
        <c:axId val="134662016"/>
        <c:scaling>
          <c:orientation val="minMax"/>
        </c:scaling>
        <c:axPos val="b"/>
        <c:tickLblPos val="nextTo"/>
        <c:crossAx val="134663552"/>
        <c:crosses val="autoZero"/>
        <c:auto val="1"/>
        <c:lblAlgn val="ctr"/>
        <c:lblOffset val="100"/>
      </c:catAx>
      <c:valAx>
        <c:axId val="134663552"/>
        <c:scaling>
          <c:orientation val="minMax"/>
        </c:scaling>
        <c:axPos val="l"/>
        <c:majorGridlines/>
        <c:numFmt formatCode="0.00" sourceLinked="1"/>
        <c:tickLblPos val="nextTo"/>
        <c:crossAx val="134662016"/>
        <c:crosses val="autoZero"/>
        <c:crossBetween val="between"/>
      </c:valAx>
    </c:plotArea>
    <c:legend>
      <c:legendPos val="r"/>
      <c:layout>
        <c:manualLayout>
          <c:xMode val="edge"/>
          <c:yMode val="edge"/>
          <c:x val="0.11901377952755936"/>
          <c:y val="0.93460921551472975"/>
          <c:w val="0.84765288713910925"/>
          <c:h val="6.1336759988334814E-2"/>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150218722659669"/>
          <c:y val="5.1400554097404488E-2"/>
          <c:w val="0.87488670166229221"/>
          <c:h val="0.78608778069407992"/>
        </c:manualLayout>
      </c:layout>
      <c:lineChart>
        <c:grouping val="standard"/>
        <c:ser>
          <c:idx val="0"/>
          <c:order val="0"/>
          <c:tx>
            <c:strRef>
              <c:f>Pauv2!$A$6</c:f>
              <c:strCache>
                <c:ptCount val="1"/>
                <c:pt idx="0">
                  <c:v>niayes</c:v>
                </c:pt>
              </c:strCache>
            </c:strRef>
          </c:tx>
          <c:val>
            <c:numRef>
              <c:f>Pauv2!$B$6:$Q$6</c:f>
              <c:numCache>
                <c:formatCode>0.00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-0.44753000000000004</c:v>
                </c:pt>
                <c:pt idx="15">
                  <c:v>0</c:v>
                </c:pt>
              </c:numCache>
            </c:numRef>
          </c:val>
        </c:ser>
        <c:ser>
          <c:idx val="1"/>
          <c:order val="1"/>
          <c:tx>
            <c:strRef>
              <c:f>Pauv2!$A$7</c:f>
              <c:strCache>
                <c:ptCount val="1"/>
                <c:pt idx="0">
                  <c:v>casamance</c:v>
                </c:pt>
              </c:strCache>
            </c:strRef>
          </c:tx>
          <c:val>
            <c:numRef>
              <c:f>Pauv2!$B$7:$Q$7</c:f>
              <c:numCache>
                <c:formatCode>0.00</c:formatCode>
                <c:ptCount val="16"/>
                <c:pt idx="0">
                  <c:v>0</c:v>
                </c:pt>
                <c:pt idx="1">
                  <c:v>0</c:v>
                </c:pt>
                <c:pt idx="2">
                  <c:v>0</c:v>
                </c:pt>
                <c:pt idx="3">
                  <c:v>0</c:v>
                </c:pt>
                <c:pt idx="4">
                  <c:v>0</c:v>
                </c:pt>
                <c:pt idx="5">
                  <c:v>0</c:v>
                </c:pt>
                <c:pt idx="6">
                  <c:v>0</c:v>
                </c:pt>
                <c:pt idx="7">
                  <c:v>0</c:v>
                </c:pt>
                <c:pt idx="8">
                  <c:v>6.3639999999999489E-2</c:v>
                </c:pt>
                <c:pt idx="9">
                  <c:v>0</c:v>
                </c:pt>
                <c:pt idx="10">
                  <c:v>0</c:v>
                </c:pt>
                <c:pt idx="11">
                  <c:v>0.12977000000000061</c:v>
                </c:pt>
                <c:pt idx="12">
                  <c:v>-0.3176300000000013</c:v>
                </c:pt>
                <c:pt idx="13">
                  <c:v>-0.18639999999999929</c:v>
                </c:pt>
                <c:pt idx="14">
                  <c:v>-0.40942000000000472</c:v>
                </c:pt>
                <c:pt idx="15">
                  <c:v>-0.61028000000000304</c:v>
                </c:pt>
              </c:numCache>
            </c:numRef>
          </c:val>
        </c:ser>
        <c:ser>
          <c:idx val="2"/>
          <c:order val="2"/>
          <c:tx>
            <c:strRef>
              <c:f>Pauv2!$A$8</c:f>
              <c:strCache>
                <c:ptCount val="1"/>
                <c:pt idx="0">
                  <c:v>Eastern Senegal</c:v>
                </c:pt>
              </c:strCache>
            </c:strRef>
          </c:tx>
          <c:val>
            <c:numRef>
              <c:f>Pauv2!$B$8:$Q$8</c:f>
              <c:numCache>
                <c:formatCode>0.00</c:formatCode>
                <c:ptCount val="16"/>
                <c:pt idx="0">
                  <c:v>0</c:v>
                </c:pt>
                <c:pt idx="1">
                  <c:v>0</c:v>
                </c:pt>
                <c:pt idx="2">
                  <c:v>0.14667999999998918</c:v>
                </c:pt>
                <c:pt idx="3">
                  <c:v>0</c:v>
                </c:pt>
                <c:pt idx="4">
                  <c:v>0</c:v>
                </c:pt>
                <c:pt idx="5">
                  <c:v>0</c:v>
                </c:pt>
                <c:pt idx="6">
                  <c:v>0</c:v>
                </c:pt>
                <c:pt idx="7">
                  <c:v>0</c:v>
                </c:pt>
                <c:pt idx="8">
                  <c:v>-0.36801999999998802</c:v>
                </c:pt>
                <c:pt idx="9">
                  <c:v>0</c:v>
                </c:pt>
                <c:pt idx="10">
                  <c:v>0</c:v>
                </c:pt>
                <c:pt idx="11">
                  <c:v>-9.6170000000000713E-2</c:v>
                </c:pt>
                <c:pt idx="12">
                  <c:v>0</c:v>
                </c:pt>
                <c:pt idx="13">
                  <c:v>0</c:v>
                </c:pt>
                <c:pt idx="14">
                  <c:v>-0.12122000000000113</c:v>
                </c:pt>
                <c:pt idx="15">
                  <c:v>0</c:v>
                </c:pt>
              </c:numCache>
            </c:numRef>
          </c:val>
        </c:ser>
        <c:ser>
          <c:idx val="3"/>
          <c:order val="3"/>
          <c:tx>
            <c:strRef>
              <c:f>Pauv2!$A$9</c:f>
              <c:strCache>
                <c:ptCount val="1"/>
                <c:pt idx="0">
                  <c:v>River area</c:v>
                </c:pt>
              </c:strCache>
            </c:strRef>
          </c:tx>
          <c:val>
            <c:numRef>
              <c:f>Pauv2!$B$9:$Q$9</c:f>
              <c:numCache>
                <c:formatCode>0.00</c:formatCode>
                <c:ptCount val="16"/>
                <c:pt idx="0">
                  <c:v>0</c:v>
                </c:pt>
                <c:pt idx="1">
                  <c:v>0</c:v>
                </c:pt>
                <c:pt idx="2">
                  <c:v>0</c:v>
                </c:pt>
                <c:pt idx="3">
                  <c:v>0</c:v>
                </c:pt>
                <c:pt idx="4">
                  <c:v>0</c:v>
                </c:pt>
                <c:pt idx="5">
                  <c:v>0.13345000000000001</c:v>
                </c:pt>
                <c:pt idx="6">
                  <c:v>0</c:v>
                </c:pt>
                <c:pt idx="7">
                  <c:v>0.14591000000000093</c:v>
                </c:pt>
                <c:pt idx="8">
                  <c:v>0</c:v>
                </c:pt>
                <c:pt idx="9">
                  <c:v>0</c:v>
                </c:pt>
                <c:pt idx="10">
                  <c:v>0</c:v>
                </c:pt>
                <c:pt idx="11">
                  <c:v>0</c:v>
                </c:pt>
                <c:pt idx="12">
                  <c:v>0</c:v>
                </c:pt>
                <c:pt idx="13">
                  <c:v>-0.53700999999999866</c:v>
                </c:pt>
                <c:pt idx="14">
                  <c:v>0</c:v>
                </c:pt>
                <c:pt idx="15">
                  <c:v>0</c:v>
                </c:pt>
              </c:numCache>
            </c:numRef>
          </c:val>
        </c:ser>
        <c:ser>
          <c:idx val="4"/>
          <c:order val="4"/>
          <c:tx>
            <c:strRef>
              <c:f>Pauv2!$A$10</c:f>
              <c:strCache>
                <c:ptCount val="1"/>
                <c:pt idx="0">
                  <c:v>Livestock area</c:v>
                </c:pt>
              </c:strCache>
            </c:strRef>
          </c:tx>
          <c:val>
            <c:numRef>
              <c:f>Pauv2!$B$10:$Q$10</c:f>
              <c:numCache>
                <c:formatCode>0.00</c:formatCode>
                <c:ptCount val="16"/>
                <c:pt idx="0">
                  <c:v>0</c:v>
                </c:pt>
                <c:pt idx="1">
                  <c:v>3.6970000000003791E-2</c:v>
                </c:pt>
                <c:pt idx="2">
                  <c:v>0</c:v>
                </c:pt>
                <c:pt idx="3">
                  <c:v>0</c:v>
                </c:pt>
                <c:pt idx="4">
                  <c:v>0</c:v>
                </c:pt>
                <c:pt idx="5">
                  <c:v>0</c:v>
                </c:pt>
                <c:pt idx="6">
                  <c:v>0</c:v>
                </c:pt>
                <c:pt idx="7">
                  <c:v>0</c:v>
                </c:pt>
                <c:pt idx="8">
                  <c:v>0</c:v>
                </c:pt>
                <c:pt idx="9">
                  <c:v>0</c:v>
                </c:pt>
                <c:pt idx="10">
                  <c:v>0</c:v>
                </c:pt>
                <c:pt idx="11">
                  <c:v>-1.9460000000002284E-2</c:v>
                </c:pt>
                <c:pt idx="12">
                  <c:v>0</c:v>
                </c:pt>
                <c:pt idx="13">
                  <c:v>-3.5009999999999791E-2</c:v>
                </c:pt>
                <c:pt idx="14">
                  <c:v>0</c:v>
                </c:pt>
                <c:pt idx="15">
                  <c:v>-3.500000000000375E-2</c:v>
                </c:pt>
              </c:numCache>
            </c:numRef>
          </c:val>
        </c:ser>
        <c:ser>
          <c:idx val="5"/>
          <c:order val="5"/>
          <c:tx>
            <c:strRef>
              <c:f>Pauv2!$A$11</c:f>
              <c:strCache>
                <c:ptCount val="1"/>
                <c:pt idx="0">
                  <c:v>Groundnut belt</c:v>
                </c:pt>
              </c:strCache>
            </c:strRef>
          </c:tx>
          <c:val>
            <c:numRef>
              <c:f>Pauv2!$B$11:$Q$11</c:f>
              <c:numCache>
                <c:formatCode>0.00</c:formatCode>
                <c:ptCount val="16"/>
                <c:pt idx="0">
                  <c:v>0</c:v>
                </c:pt>
                <c:pt idx="1">
                  <c:v>0</c:v>
                </c:pt>
                <c:pt idx="2">
                  <c:v>0</c:v>
                </c:pt>
                <c:pt idx="3">
                  <c:v>0</c:v>
                </c:pt>
                <c:pt idx="4">
                  <c:v>0</c:v>
                </c:pt>
                <c:pt idx="5">
                  <c:v>0</c:v>
                </c:pt>
                <c:pt idx="6">
                  <c:v>0</c:v>
                </c:pt>
                <c:pt idx="7">
                  <c:v>0</c:v>
                </c:pt>
                <c:pt idx="8">
                  <c:v>1.2800000000012823E-3</c:v>
                </c:pt>
                <c:pt idx="9">
                  <c:v>0</c:v>
                </c:pt>
                <c:pt idx="10">
                  <c:v>-3.361000000000304E-2</c:v>
                </c:pt>
                <c:pt idx="11">
                  <c:v>7.4069999999999067E-2</c:v>
                </c:pt>
                <c:pt idx="12">
                  <c:v>-0.16053999999999746</c:v>
                </c:pt>
                <c:pt idx="13">
                  <c:v>-0.21115999999999971</c:v>
                </c:pt>
                <c:pt idx="14">
                  <c:v>-0.22738000000000014</c:v>
                </c:pt>
                <c:pt idx="15">
                  <c:v>-0.21811999999999923</c:v>
                </c:pt>
              </c:numCache>
            </c:numRef>
          </c:val>
        </c:ser>
        <c:marker val="1"/>
        <c:axId val="134969984"/>
        <c:axId val="134984064"/>
      </c:lineChart>
      <c:catAx>
        <c:axId val="134969984"/>
        <c:scaling>
          <c:orientation val="minMax"/>
        </c:scaling>
        <c:axPos val="b"/>
        <c:tickLblPos val="nextTo"/>
        <c:crossAx val="134984064"/>
        <c:crosses val="autoZero"/>
        <c:auto val="1"/>
        <c:lblAlgn val="ctr"/>
        <c:lblOffset val="100"/>
      </c:catAx>
      <c:valAx>
        <c:axId val="134984064"/>
        <c:scaling>
          <c:orientation val="minMax"/>
        </c:scaling>
        <c:axPos val="l"/>
        <c:majorGridlines/>
        <c:numFmt formatCode="0.00" sourceLinked="1"/>
        <c:tickLblPos val="nextTo"/>
        <c:crossAx val="134969984"/>
        <c:crosses val="autoZero"/>
        <c:crossBetween val="between"/>
      </c:valAx>
    </c:plotArea>
    <c:legend>
      <c:legendPos val="r"/>
      <c:layout>
        <c:manualLayout>
          <c:xMode val="edge"/>
          <c:yMode val="edge"/>
          <c:x val="6.5277777777777782E-2"/>
          <c:y val="0.87847805482648089"/>
          <c:w val="0.873611111111112"/>
          <c:h val="0.11804389034703996"/>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1FD7-A3C4-44D6-A252-7D8C4F05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8186</Words>
  <Characters>45024</Characters>
  <Application>Microsoft Office Word</Application>
  <DocSecurity>0</DocSecurity>
  <Lines>375</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 Dynamic Computable General Equilibrium (CGE) Model for South Africa</vt:lpstr>
      <vt:lpstr>A Dynamic Computable General Equilibrium (CGE) Model for South Africa</vt:lpstr>
    </vt:vector>
  </TitlesOfParts>
  <Company>IFPRI</Company>
  <LinksUpToDate>false</LinksUpToDate>
  <CharactersWithSpaces>53104</CharactersWithSpaces>
  <SharedDoc>false</SharedDoc>
  <HLinks>
    <vt:vector size="6" baseType="variant">
      <vt:variant>
        <vt:i4>2883620</vt:i4>
      </vt:variant>
      <vt:variant>
        <vt:i4>126</vt:i4>
      </vt:variant>
      <vt:variant>
        <vt:i4>0</vt:i4>
      </vt:variant>
      <vt:variant>
        <vt:i4>5</vt:i4>
      </vt:variant>
      <vt:variant>
        <vt:lpwstr>http://www.cirpee.org/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Dynamic Computable General Equilibrium (CGE) Model for South Africa</dc:title>
  <dc:creator>James Thurlow</dc:creator>
  <cp:lastModifiedBy>papadia</cp:lastModifiedBy>
  <cp:revision>2</cp:revision>
  <cp:lastPrinted>2011-03-16T16:49:00Z</cp:lastPrinted>
  <dcterms:created xsi:type="dcterms:W3CDTF">2012-09-20T11:45:00Z</dcterms:created>
  <dcterms:modified xsi:type="dcterms:W3CDTF">2012-09-20T11:45:00Z</dcterms:modified>
</cp:coreProperties>
</file>